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50" w:rsidRPr="009935DE" w:rsidRDefault="009935DE">
      <w:pPr>
        <w:rPr>
          <w:i/>
          <w:sz w:val="18"/>
          <w:szCs w:val="18"/>
        </w:rPr>
      </w:pPr>
      <w:bookmarkStart w:id="0" w:name="_GoBack"/>
      <w:bookmarkEnd w:id="0"/>
      <w:r w:rsidRPr="009935DE">
        <w:rPr>
          <w:i/>
          <w:sz w:val="18"/>
          <w:szCs w:val="18"/>
        </w:rPr>
        <w:t>Załącznik nr 1 do Strategii udzielania grantów</w:t>
      </w:r>
    </w:p>
    <w:p w:rsidR="00F15650" w:rsidRDefault="00F15650" w:rsidP="00F15650">
      <w:pPr>
        <w:jc w:val="center"/>
      </w:pPr>
    </w:p>
    <w:p w:rsidR="00F15650" w:rsidRDefault="00F15650" w:rsidP="00F15650">
      <w:pPr>
        <w:jc w:val="center"/>
      </w:pPr>
      <w:r>
        <w:t>Agencja Rozwoju Regionalnego „ARES” S.A. w Suwałkach</w:t>
      </w:r>
    </w:p>
    <w:p w:rsidR="00F15650" w:rsidRDefault="00F15650" w:rsidP="00F15650">
      <w:pPr>
        <w:jc w:val="center"/>
        <w:rPr>
          <w:b/>
          <w:sz w:val="40"/>
          <w:szCs w:val="40"/>
        </w:rPr>
      </w:pPr>
    </w:p>
    <w:p w:rsidR="00EA268A" w:rsidRDefault="00771F22" w:rsidP="00F15650">
      <w:pPr>
        <w:jc w:val="center"/>
        <w:rPr>
          <w:b/>
          <w:sz w:val="40"/>
          <w:szCs w:val="40"/>
        </w:rPr>
      </w:pPr>
      <w:r>
        <w:rPr>
          <w:b/>
          <w:sz w:val="40"/>
          <w:szCs w:val="40"/>
        </w:rPr>
        <w:t>REGULAMIN POWIERZANIA</w:t>
      </w:r>
      <w:r w:rsidR="00F15650" w:rsidRPr="00F15650">
        <w:rPr>
          <w:b/>
          <w:sz w:val="40"/>
          <w:szCs w:val="40"/>
        </w:rPr>
        <w:t xml:space="preserve"> GRANTÓW</w:t>
      </w:r>
    </w:p>
    <w:p w:rsidR="00F15650" w:rsidRDefault="00F15650" w:rsidP="00F15650">
      <w:pPr>
        <w:jc w:val="center"/>
        <w:rPr>
          <w:b/>
          <w:sz w:val="40"/>
          <w:szCs w:val="40"/>
        </w:rPr>
      </w:pPr>
    </w:p>
    <w:p w:rsidR="00F15650" w:rsidRDefault="00F15650" w:rsidP="00F15650">
      <w:pPr>
        <w:jc w:val="center"/>
        <w:rPr>
          <w:b/>
          <w:sz w:val="40"/>
          <w:szCs w:val="40"/>
        </w:rPr>
      </w:pPr>
      <w:r>
        <w:rPr>
          <w:b/>
          <w:sz w:val="40"/>
          <w:szCs w:val="40"/>
        </w:rPr>
        <w:t>„Bon na badania”</w:t>
      </w:r>
    </w:p>
    <w:p w:rsidR="00F15650" w:rsidRDefault="00F15650" w:rsidP="00F15650">
      <w:pPr>
        <w:jc w:val="center"/>
        <w:rPr>
          <w:b/>
          <w:sz w:val="40"/>
          <w:szCs w:val="40"/>
        </w:rPr>
      </w:pPr>
    </w:p>
    <w:p w:rsidR="00F15650" w:rsidRDefault="00F15650" w:rsidP="00F15650">
      <w:pPr>
        <w:pStyle w:val="Default"/>
      </w:pPr>
    </w:p>
    <w:p w:rsidR="00F15650" w:rsidRPr="00F15650" w:rsidRDefault="00F15650" w:rsidP="00F15650">
      <w:pPr>
        <w:spacing w:after="0" w:line="360" w:lineRule="auto"/>
        <w:jc w:val="center"/>
        <w:rPr>
          <w:sz w:val="28"/>
          <w:szCs w:val="28"/>
        </w:rPr>
      </w:pPr>
      <w:r>
        <w:rPr>
          <w:sz w:val="28"/>
          <w:szCs w:val="28"/>
        </w:rPr>
        <w:t>Fundusze Europejskie dla Podlaskiego 2021-2027</w:t>
      </w:r>
    </w:p>
    <w:p w:rsidR="00F15650" w:rsidRPr="00F15650" w:rsidRDefault="00F15650" w:rsidP="00F15650">
      <w:pPr>
        <w:spacing w:after="0" w:line="360" w:lineRule="auto"/>
        <w:jc w:val="center"/>
        <w:rPr>
          <w:sz w:val="28"/>
          <w:szCs w:val="28"/>
        </w:rPr>
      </w:pPr>
      <w:r w:rsidRPr="00F15650">
        <w:rPr>
          <w:sz w:val="28"/>
          <w:szCs w:val="28"/>
        </w:rPr>
        <w:t>I</w:t>
      </w:r>
      <w:r>
        <w:rPr>
          <w:sz w:val="28"/>
          <w:szCs w:val="28"/>
        </w:rPr>
        <w:t xml:space="preserve">. </w:t>
      </w:r>
      <w:r w:rsidRPr="00F15650">
        <w:rPr>
          <w:sz w:val="28"/>
          <w:szCs w:val="28"/>
        </w:rPr>
        <w:t>Badania i innowacje</w:t>
      </w:r>
    </w:p>
    <w:p w:rsidR="00F15650" w:rsidRPr="00F15650" w:rsidRDefault="00F15650" w:rsidP="00F15650">
      <w:pPr>
        <w:spacing w:after="0" w:line="360" w:lineRule="auto"/>
        <w:jc w:val="center"/>
        <w:rPr>
          <w:sz w:val="28"/>
          <w:szCs w:val="28"/>
        </w:rPr>
      </w:pPr>
      <w:r w:rsidRPr="00F15650">
        <w:rPr>
          <w:sz w:val="28"/>
          <w:szCs w:val="28"/>
        </w:rPr>
        <w:t>1</w:t>
      </w:r>
      <w:r>
        <w:rPr>
          <w:sz w:val="28"/>
          <w:szCs w:val="28"/>
        </w:rPr>
        <w:t xml:space="preserve">.1 </w:t>
      </w:r>
      <w:r w:rsidRPr="00F15650">
        <w:rPr>
          <w:sz w:val="28"/>
          <w:szCs w:val="28"/>
        </w:rPr>
        <w:t>Rozwój regionalnego potencjału B+R</w:t>
      </w:r>
    </w:p>
    <w:p w:rsidR="00771F22" w:rsidRDefault="00F15650" w:rsidP="00F15650">
      <w:pPr>
        <w:spacing w:after="0" w:line="360" w:lineRule="auto"/>
        <w:jc w:val="center"/>
        <w:rPr>
          <w:b/>
          <w:sz w:val="40"/>
          <w:szCs w:val="40"/>
        </w:rPr>
      </w:pPr>
      <w:r>
        <w:rPr>
          <w:sz w:val="28"/>
          <w:szCs w:val="28"/>
        </w:rPr>
        <w:t>Działalność badawczo-rozwojowa przedsiębiorstw – bon na badania (projekt grantowy)</w:t>
      </w:r>
    </w:p>
    <w:p w:rsidR="00771F22" w:rsidRPr="00771F22" w:rsidRDefault="00771F22" w:rsidP="00771F22">
      <w:pPr>
        <w:rPr>
          <w:sz w:val="40"/>
          <w:szCs w:val="40"/>
        </w:rPr>
      </w:pPr>
    </w:p>
    <w:p w:rsidR="00771F22" w:rsidRPr="00771F22" w:rsidRDefault="00771F22" w:rsidP="00771F22">
      <w:pPr>
        <w:rPr>
          <w:sz w:val="40"/>
          <w:szCs w:val="40"/>
        </w:rPr>
      </w:pPr>
    </w:p>
    <w:p w:rsidR="00771F22" w:rsidRPr="00771F22" w:rsidRDefault="00771F22" w:rsidP="00771F22">
      <w:pPr>
        <w:rPr>
          <w:sz w:val="40"/>
          <w:szCs w:val="40"/>
        </w:rPr>
      </w:pPr>
    </w:p>
    <w:p w:rsidR="00771F22" w:rsidRPr="00771F22" w:rsidRDefault="00771F22" w:rsidP="00771F22">
      <w:pPr>
        <w:rPr>
          <w:sz w:val="40"/>
          <w:szCs w:val="40"/>
        </w:rPr>
      </w:pPr>
    </w:p>
    <w:p w:rsidR="00771F22" w:rsidRPr="00771F22" w:rsidRDefault="00771F22" w:rsidP="00771F22">
      <w:pPr>
        <w:rPr>
          <w:sz w:val="40"/>
          <w:szCs w:val="40"/>
        </w:rPr>
      </w:pPr>
    </w:p>
    <w:p w:rsidR="00F15650" w:rsidRDefault="00771F22" w:rsidP="00771F22">
      <w:pPr>
        <w:tabs>
          <w:tab w:val="left" w:pos="3790"/>
        </w:tabs>
        <w:rPr>
          <w:sz w:val="40"/>
          <w:szCs w:val="40"/>
        </w:rPr>
      </w:pPr>
      <w:r>
        <w:rPr>
          <w:sz w:val="40"/>
          <w:szCs w:val="40"/>
        </w:rPr>
        <w:tab/>
      </w:r>
    </w:p>
    <w:p w:rsidR="00771F22" w:rsidRDefault="00771F22" w:rsidP="00771F22">
      <w:pPr>
        <w:tabs>
          <w:tab w:val="left" w:pos="3790"/>
        </w:tabs>
        <w:rPr>
          <w:sz w:val="20"/>
          <w:szCs w:val="20"/>
        </w:rPr>
      </w:pPr>
    </w:p>
    <w:p w:rsidR="00771F22" w:rsidRPr="00771F22" w:rsidRDefault="00771F22" w:rsidP="00771F22">
      <w:pPr>
        <w:autoSpaceDE w:val="0"/>
        <w:autoSpaceDN w:val="0"/>
        <w:adjustRightInd w:val="0"/>
        <w:spacing w:after="0" w:line="240" w:lineRule="auto"/>
        <w:rPr>
          <w:rFonts w:ascii="Calibri" w:hAnsi="Calibri" w:cs="Calibri"/>
          <w:color w:val="000000"/>
          <w:sz w:val="24"/>
          <w:szCs w:val="24"/>
        </w:rPr>
      </w:pPr>
    </w:p>
    <w:p w:rsidR="00771F22" w:rsidRPr="00827590" w:rsidRDefault="00771F22" w:rsidP="00771F22">
      <w:pPr>
        <w:tabs>
          <w:tab w:val="left" w:pos="3790"/>
        </w:tabs>
        <w:spacing w:after="0" w:line="240" w:lineRule="auto"/>
        <w:jc w:val="center"/>
        <w:rPr>
          <w:rFonts w:cstheme="minorHAnsi"/>
          <w:b/>
          <w:bCs/>
          <w:color w:val="000000"/>
        </w:rPr>
      </w:pPr>
      <w:r w:rsidRPr="00827590">
        <w:rPr>
          <w:rFonts w:cstheme="minorHAnsi"/>
          <w:b/>
          <w:bCs/>
          <w:color w:val="000000"/>
        </w:rPr>
        <w:t>§1</w:t>
      </w:r>
    </w:p>
    <w:p w:rsidR="00771F22" w:rsidRPr="00827590" w:rsidRDefault="002A60AC" w:rsidP="00771F22">
      <w:pPr>
        <w:tabs>
          <w:tab w:val="left" w:pos="3790"/>
        </w:tabs>
        <w:spacing w:after="0" w:line="240" w:lineRule="auto"/>
        <w:jc w:val="center"/>
        <w:rPr>
          <w:rFonts w:cstheme="minorHAnsi"/>
          <w:b/>
        </w:rPr>
      </w:pPr>
      <w:r w:rsidRPr="00827590">
        <w:rPr>
          <w:rFonts w:cstheme="minorHAnsi"/>
          <w:b/>
        </w:rPr>
        <w:t>Operator</w:t>
      </w:r>
      <w:r w:rsidR="00ED3342" w:rsidRPr="00827590">
        <w:rPr>
          <w:rFonts w:cstheme="minorHAnsi"/>
          <w:b/>
        </w:rPr>
        <w:t xml:space="preserve"> projektu</w:t>
      </w:r>
      <w:r w:rsidR="00771F22" w:rsidRPr="00827590">
        <w:rPr>
          <w:rFonts w:cstheme="minorHAnsi"/>
          <w:b/>
        </w:rPr>
        <w:t xml:space="preserve"> „Bon na badania”</w:t>
      </w:r>
    </w:p>
    <w:p w:rsidR="00771F22" w:rsidRPr="00827590" w:rsidRDefault="00771F22" w:rsidP="00771F22">
      <w:pPr>
        <w:tabs>
          <w:tab w:val="left" w:pos="3790"/>
        </w:tabs>
        <w:spacing w:after="0" w:line="240" w:lineRule="auto"/>
        <w:jc w:val="center"/>
        <w:rPr>
          <w:rFonts w:cstheme="minorHAnsi"/>
        </w:rPr>
      </w:pPr>
    </w:p>
    <w:p w:rsidR="00771F22" w:rsidRPr="00827590" w:rsidRDefault="002A60AC" w:rsidP="002A60AC">
      <w:pPr>
        <w:tabs>
          <w:tab w:val="left" w:pos="3790"/>
        </w:tabs>
        <w:jc w:val="both"/>
        <w:rPr>
          <w:rFonts w:cstheme="minorHAnsi"/>
        </w:rPr>
      </w:pPr>
      <w:r w:rsidRPr="00827590">
        <w:rPr>
          <w:rFonts w:cstheme="minorHAnsi"/>
        </w:rPr>
        <w:t>Operatorem</w:t>
      </w:r>
      <w:r w:rsidR="00771F22" w:rsidRPr="00827590">
        <w:rPr>
          <w:rFonts w:cstheme="minorHAnsi"/>
        </w:rPr>
        <w:t xml:space="preserve"> Projektu pn. „Bon na </w:t>
      </w:r>
      <w:r w:rsidRPr="00827590">
        <w:rPr>
          <w:rFonts w:cstheme="minorHAnsi"/>
        </w:rPr>
        <w:t>badania</w:t>
      </w:r>
      <w:r w:rsidR="00771F22" w:rsidRPr="00827590">
        <w:rPr>
          <w:rFonts w:cstheme="minorHAnsi"/>
        </w:rPr>
        <w:t>” (zwanego dalej „Projektem”), prowadzonego na terenie województwa</w:t>
      </w:r>
      <w:r w:rsidRPr="00827590">
        <w:rPr>
          <w:rFonts w:cstheme="minorHAnsi"/>
        </w:rPr>
        <w:t xml:space="preserve"> podlaskiego</w:t>
      </w:r>
      <w:r w:rsidR="00771F22" w:rsidRPr="00827590">
        <w:rPr>
          <w:rFonts w:cstheme="minorHAnsi"/>
        </w:rPr>
        <w:t xml:space="preserve">, jest Agencja Rozwoju Regionalnego </w:t>
      </w:r>
      <w:r w:rsidRPr="00827590">
        <w:rPr>
          <w:rFonts w:cstheme="minorHAnsi"/>
        </w:rPr>
        <w:t xml:space="preserve">„ARES” </w:t>
      </w:r>
      <w:r w:rsidR="00771F22" w:rsidRPr="00827590">
        <w:rPr>
          <w:rFonts w:cstheme="minorHAnsi"/>
        </w:rPr>
        <w:t xml:space="preserve">S.A. </w:t>
      </w:r>
      <w:r w:rsidRPr="00827590">
        <w:rPr>
          <w:rFonts w:cstheme="minorHAnsi"/>
        </w:rPr>
        <w:t>w Suwałkach.</w:t>
      </w:r>
    </w:p>
    <w:p w:rsidR="002A60AC" w:rsidRPr="00827590" w:rsidRDefault="002A60AC" w:rsidP="002A60AC">
      <w:pPr>
        <w:tabs>
          <w:tab w:val="left" w:pos="3790"/>
        </w:tabs>
        <w:spacing w:after="0" w:line="240" w:lineRule="auto"/>
        <w:jc w:val="center"/>
        <w:rPr>
          <w:rFonts w:cstheme="minorHAnsi"/>
          <w:b/>
        </w:rPr>
      </w:pPr>
      <w:r w:rsidRPr="00827590">
        <w:rPr>
          <w:rFonts w:cstheme="minorHAnsi"/>
          <w:b/>
        </w:rPr>
        <w:t>§2</w:t>
      </w:r>
    </w:p>
    <w:p w:rsidR="00186F98" w:rsidRPr="00827590" w:rsidRDefault="002A60AC" w:rsidP="00186F98">
      <w:pPr>
        <w:tabs>
          <w:tab w:val="left" w:pos="3790"/>
        </w:tabs>
        <w:spacing w:after="0" w:line="240" w:lineRule="auto"/>
        <w:jc w:val="center"/>
        <w:rPr>
          <w:rFonts w:cstheme="minorHAnsi"/>
          <w:b/>
        </w:rPr>
      </w:pPr>
      <w:r w:rsidRPr="00827590">
        <w:rPr>
          <w:rFonts w:cstheme="minorHAnsi"/>
          <w:b/>
        </w:rPr>
        <w:t>Podstawy realizacji projektu</w:t>
      </w:r>
    </w:p>
    <w:p w:rsidR="00186F98" w:rsidRPr="00827590" w:rsidRDefault="00186F98" w:rsidP="00186F98">
      <w:pPr>
        <w:tabs>
          <w:tab w:val="left" w:pos="3790"/>
        </w:tabs>
        <w:spacing w:after="0" w:line="240" w:lineRule="auto"/>
        <w:jc w:val="center"/>
        <w:rPr>
          <w:rFonts w:cstheme="minorHAnsi"/>
          <w:b/>
        </w:rPr>
      </w:pPr>
    </w:p>
    <w:p w:rsidR="000716EE" w:rsidRPr="00827590" w:rsidRDefault="002A60AC" w:rsidP="00312B6E">
      <w:pPr>
        <w:pStyle w:val="Akapitzlist"/>
        <w:numPr>
          <w:ilvl w:val="0"/>
          <w:numId w:val="1"/>
        </w:numPr>
        <w:tabs>
          <w:tab w:val="left" w:pos="3790"/>
        </w:tabs>
        <w:spacing w:after="0"/>
        <w:ind w:left="357" w:hanging="357"/>
        <w:jc w:val="both"/>
        <w:rPr>
          <w:rFonts w:cstheme="minorHAnsi"/>
          <w:b/>
        </w:rPr>
      </w:pPr>
      <w:r w:rsidRPr="00827590">
        <w:rPr>
          <w:rFonts w:cstheme="minorHAnsi"/>
        </w:rPr>
        <w:t>Projekt „Bon na badania” jest prowadzony w ramach Programu Fundusze Europejskie dla Podlaskiego 2021-2027, Priorytet I Badania i innowacje, Działanie 1.1 Rozwój regionalnego potencjału B+R, Typ: Działalność badawczo-rozwojowa przedsiębiorstw – bon na badania (projekt grantowy).</w:t>
      </w:r>
    </w:p>
    <w:p w:rsidR="000716EE" w:rsidRPr="00827590" w:rsidRDefault="000716EE" w:rsidP="00312B6E">
      <w:pPr>
        <w:pStyle w:val="Akapitzlist"/>
        <w:numPr>
          <w:ilvl w:val="0"/>
          <w:numId w:val="1"/>
        </w:numPr>
        <w:tabs>
          <w:tab w:val="left" w:pos="3790"/>
        </w:tabs>
        <w:spacing w:after="0"/>
        <w:ind w:left="357" w:hanging="357"/>
        <w:jc w:val="both"/>
        <w:rPr>
          <w:rFonts w:cstheme="minorHAnsi"/>
          <w:b/>
        </w:rPr>
      </w:pPr>
      <w:r w:rsidRPr="00827590">
        <w:rPr>
          <w:rFonts w:cstheme="minorHAnsi"/>
        </w:rPr>
        <w:t>Projekt jest współfinansowany ze środków Europejskiego Funduszu Rozwoju Regionalnego (EFRR) w ramach Programu Fundusze Europejskie dla Podlaskiego 2021-2027.</w:t>
      </w:r>
    </w:p>
    <w:p w:rsidR="000716EE" w:rsidRPr="00827590" w:rsidRDefault="000716EE" w:rsidP="000716EE">
      <w:pPr>
        <w:pStyle w:val="Akapitzlist"/>
        <w:tabs>
          <w:tab w:val="left" w:pos="3790"/>
        </w:tabs>
        <w:spacing w:after="0"/>
        <w:ind w:left="357"/>
        <w:jc w:val="both"/>
        <w:rPr>
          <w:rFonts w:cstheme="minorHAnsi"/>
        </w:rPr>
      </w:pPr>
    </w:p>
    <w:p w:rsidR="000716EE" w:rsidRPr="00827590" w:rsidRDefault="000716EE" w:rsidP="000716EE">
      <w:pPr>
        <w:tabs>
          <w:tab w:val="left" w:pos="3790"/>
        </w:tabs>
        <w:spacing w:after="0" w:line="240" w:lineRule="auto"/>
        <w:jc w:val="center"/>
        <w:rPr>
          <w:rFonts w:cstheme="minorHAnsi"/>
          <w:b/>
        </w:rPr>
      </w:pPr>
      <w:r w:rsidRPr="00827590">
        <w:rPr>
          <w:rFonts w:cstheme="minorHAnsi"/>
          <w:b/>
        </w:rPr>
        <w:t>§3</w:t>
      </w:r>
    </w:p>
    <w:p w:rsidR="000716EE" w:rsidRPr="00827590" w:rsidRDefault="000716EE" w:rsidP="000716EE">
      <w:pPr>
        <w:tabs>
          <w:tab w:val="left" w:pos="3790"/>
        </w:tabs>
        <w:spacing w:after="0" w:line="240" w:lineRule="auto"/>
        <w:jc w:val="center"/>
        <w:rPr>
          <w:rFonts w:cstheme="minorHAnsi"/>
          <w:b/>
        </w:rPr>
      </w:pPr>
      <w:r w:rsidRPr="00827590">
        <w:rPr>
          <w:rFonts w:cstheme="minorHAnsi"/>
          <w:b/>
        </w:rPr>
        <w:t>Cel projektu</w:t>
      </w:r>
    </w:p>
    <w:p w:rsidR="00B70C0B" w:rsidRPr="00827590" w:rsidRDefault="00B70C0B" w:rsidP="000716EE">
      <w:pPr>
        <w:tabs>
          <w:tab w:val="left" w:pos="3790"/>
        </w:tabs>
        <w:spacing w:after="0" w:line="240" w:lineRule="auto"/>
        <w:jc w:val="center"/>
        <w:rPr>
          <w:rFonts w:cstheme="minorHAnsi"/>
          <w:b/>
        </w:rPr>
      </w:pPr>
    </w:p>
    <w:p w:rsidR="000716EE" w:rsidRPr="00827590" w:rsidRDefault="00B70C0B" w:rsidP="00312B6E">
      <w:pPr>
        <w:pStyle w:val="Akapitzlist"/>
        <w:numPr>
          <w:ilvl w:val="0"/>
          <w:numId w:val="2"/>
        </w:numPr>
        <w:tabs>
          <w:tab w:val="left" w:pos="3790"/>
        </w:tabs>
        <w:spacing w:after="0"/>
        <w:ind w:left="357" w:hanging="357"/>
        <w:jc w:val="both"/>
        <w:rPr>
          <w:rFonts w:cstheme="minorHAnsi"/>
        </w:rPr>
      </w:pPr>
      <w:r w:rsidRPr="00827590">
        <w:rPr>
          <w:rFonts w:cstheme="minorHAnsi"/>
        </w:rPr>
        <w:t>Celem projektu jest rozwijanie i wzmacnianie zdolności badawczych i innowacyjnych oraz wykorzystywanie zaawansowanych technologii poprzez dofinansowanie zakupu usług badawczych na rzecz MŚP.</w:t>
      </w:r>
    </w:p>
    <w:p w:rsidR="00E62D7C" w:rsidRPr="00827590" w:rsidRDefault="00E62D7C" w:rsidP="00312B6E">
      <w:pPr>
        <w:pStyle w:val="Akapitzlist"/>
        <w:numPr>
          <w:ilvl w:val="0"/>
          <w:numId w:val="2"/>
        </w:numPr>
        <w:tabs>
          <w:tab w:val="left" w:pos="3790"/>
        </w:tabs>
        <w:spacing w:after="0"/>
        <w:ind w:left="357" w:hanging="357"/>
        <w:jc w:val="both"/>
        <w:rPr>
          <w:rFonts w:cstheme="minorHAnsi"/>
        </w:rPr>
      </w:pPr>
      <w:r w:rsidRPr="00827590">
        <w:rPr>
          <w:rFonts w:cstheme="minorHAnsi"/>
        </w:rPr>
        <w:t>Wsparcie w postaci bonu przeznaczone będzie na zakup usług badawczych polegających na opracowaniu dla MŚP nowych lub ulepszonych produktów (wyrobów, usług) lub zmian procesowych. Może zostać przeznaczony w szczególności na przeprowadzenie badań, audyt technologiczny, nabycie licencji, wsparcie w zakresie przejścia procedury ochrony patentowej. Nabycie wyników prac B+R może obejmować prawa własności intelektualnej, w tym patenty, licencji, know-how lub inną nieopatentowaną wiedzę techniczną związaną z wdrażanym produktem lub usługą (z wyłączeniem kosztów procesowych/sądowych).</w:t>
      </w:r>
    </w:p>
    <w:p w:rsidR="003C18A5" w:rsidRPr="00827590" w:rsidRDefault="003C18A5" w:rsidP="003C18A5">
      <w:pPr>
        <w:pStyle w:val="Akapitzlist"/>
        <w:tabs>
          <w:tab w:val="left" w:pos="3790"/>
        </w:tabs>
        <w:spacing w:after="0"/>
        <w:ind w:left="357"/>
        <w:jc w:val="both"/>
        <w:rPr>
          <w:rFonts w:cstheme="minorHAnsi"/>
        </w:rPr>
      </w:pPr>
    </w:p>
    <w:p w:rsidR="003C18A5" w:rsidRPr="00827590" w:rsidRDefault="003C18A5" w:rsidP="003C18A5">
      <w:pPr>
        <w:tabs>
          <w:tab w:val="left" w:pos="3790"/>
        </w:tabs>
        <w:spacing w:after="0" w:line="240" w:lineRule="auto"/>
        <w:jc w:val="center"/>
        <w:rPr>
          <w:rFonts w:cstheme="minorHAnsi"/>
          <w:b/>
        </w:rPr>
      </w:pPr>
      <w:r w:rsidRPr="00827590">
        <w:rPr>
          <w:rFonts w:cstheme="minorHAnsi"/>
          <w:b/>
        </w:rPr>
        <w:t>§</w:t>
      </w:r>
      <w:r w:rsidR="005E0580">
        <w:rPr>
          <w:rFonts w:cstheme="minorHAnsi"/>
          <w:b/>
        </w:rPr>
        <w:t>4</w:t>
      </w:r>
    </w:p>
    <w:p w:rsidR="003C18A5" w:rsidRPr="00827590" w:rsidRDefault="003C18A5" w:rsidP="003C18A5">
      <w:pPr>
        <w:tabs>
          <w:tab w:val="left" w:pos="3790"/>
        </w:tabs>
        <w:spacing w:after="0" w:line="240" w:lineRule="auto"/>
        <w:jc w:val="center"/>
        <w:rPr>
          <w:rFonts w:cstheme="minorHAnsi"/>
          <w:b/>
        </w:rPr>
      </w:pPr>
      <w:r w:rsidRPr="00827590">
        <w:rPr>
          <w:rFonts w:cstheme="minorHAnsi"/>
          <w:b/>
        </w:rPr>
        <w:t>Uczestnicy projektu</w:t>
      </w:r>
    </w:p>
    <w:p w:rsidR="003C18A5" w:rsidRPr="00827590" w:rsidRDefault="003C18A5" w:rsidP="003C18A5">
      <w:pPr>
        <w:tabs>
          <w:tab w:val="left" w:pos="3790"/>
        </w:tabs>
        <w:spacing w:after="0" w:line="240" w:lineRule="auto"/>
        <w:jc w:val="center"/>
        <w:rPr>
          <w:rFonts w:cstheme="minorHAnsi"/>
          <w:b/>
        </w:rPr>
      </w:pPr>
    </w:p>
    <w:p w:rsidR="001B1B95" w:rsidRPr="00827590" w:rsidRDefault="001B1B95" w:rsidP="00312B6E">
      <w:pPr>
        <w:pStyle w:val="Akapitzlist"/>
        <w:numPr>
          <w:ilvl w:val="0"/>
          <w:numId w:val="3"/>
        </w:numPr>
        <w:tabs>
          <w:tab w:val="left" w:pos="3790"/>
        </w:tabs>
        <w:spacing w:after="0"/>
        <w:ind w:left="357" w:hanging="357"/>
        <w:jc w:val="both"/>
        <w:rPr>
          <w:rFonts w:cstheme="minorHAnsi"/>
        </w:rPr>
      </w:pPr>
      <w:r w:rsidRPr="00827590">
        <w:rPr>
          <w:rFonts w:cstheme="minorHAnsi"/>
        </w:rPr>
        <w:t xml:space="preserve">Podmiotem uprawnionym do ubiegania się o </w:t>
      </w:r>
      <w:r w:rsidR="002508E7" w:rsidRPr="00827590">
        <w:rPr>
          <w:rFonts w:cstheme="minorHAnsi"/>
        </w:rPr>
        <w:t>g</w:t>
      </w:r>
      <w:r w:rsidRPr="00827590">
        <w:rPr>
          <w:rFonts w:cstheme="minorHAnsi"/>
        </w:rPr>
        <w:t>rant w ramach Projektu jest Przedsiębiorca, który jednocześnie spełnia wszystkie następujące warunki:</w:t>
      </w:r>
    </w:p>
    <w:p w:rsidR="002508E7"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spełnia definicję mikro, małego lub średniego przedsiębiorcy w rozumieniu załącznika I do rozporządzenia Komisji (UE) Nr 651/2014 z dnia 17 czerwca 2014 r. uznającego niektóre rodzaje pomocy za zgodne z rynkiem wewnętrznym w zastosowaniu art. 107 i 108 Traktatu,</w:t>
      </w:r>
    </w:p>
    <w:p w:rsidR="002508E7"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ma siedzibę lub prowadzi działalność gospodarczą na terenie województwa podlaskiego,</w:t>
      </w:r>
    </w:p>
    <w:p w:rsidR="002508E7"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nie ciąży na nim obowiązek zwrotu pomocy wynikający z decyzji Komisji Europejskiej uznającej taką pomoc za niezgodną z prawem lub rynkiem wewnętrznym</w:t>
      </w:r>
    </w:p>
    <w:p w:rsidR="002508E7"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 xml:space="preserve">nie znajduje się w trudnej sytuacji w rozumieniu unijnych przepisów dotyczących pomocy państwa (w szczególności art. 2 pkt 18 Rozporządzenia Komisji UE Nr 651/2014 z dnia 17 </w:t>
      </w:r>
      <w:r w:rsidRPr="00827590">
        <w:rPr>
          <w:rFonts w:cstheme="minorHAnsi"/>
        </w:rPr>
        <w:lastRenderedPageBreak/>
        <w:t>czerwca 2014 r. uznającego niektóre rodzaje pomocy za zgodne z rynkiem wewnętrznym w zastosowaniu art. 107 i 108 Traktatu),</w:t>
      </w:r>
    </w:p>
    <w:p w:rsidR="001B1B95"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nie posiada zaległości wobec Skarbu Państwa,</w:t>
      </w:r>
    </w:p>
    <w:p w:rsidR="002508E7"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nie pozostaje pod zarządem komisarycznym ani nie znajduje się w toku likwidacji albo postępowania upadłościowego.</w:t>
      </w:r>
    </w:p>
    <w:p w:rsidR="002508E7" w:rsidRPr="00827590" w:rsidRDefault="002508E7" w:rsidP="00312B6E">
      <w:pPr>
        <w:pStyle w:val="Akapitzlist"/>
        <w:numPr>
          <w:ilvl w:val="0"/>
          <w:numId w:val="4"/>
        </w:numPr>
        <w:tabs>
          <w:tab w:val="left" w:pos="3790"/>
        </w:tabs>
        <w:spacing w:after="0"/>
        <w:jc w:val="both"/>
        <w:rPr>
          <w:rFonts w:cstheme="minorHAnsi"/>
        </w:rPr>
      </w:pPr>
      <w:r w:rsidRPr="00827590">
        <w:rPr>
          <w:rFonts w:cstheme="minorHAnsi"/>
        </w:rPr>
        <w:t>nie został wobec niego orzeczony zakaz dostępu do środków funduszy europejskich na podstawie:</w:t>
      </w:r>
    </w:p>
    <w:p w:rsidR="002508E7" w:rsidRPr="00827590" w:rsidRDefault="002508E7" w:rsidP="00312B6E">
      <w:pPr>
        <w:pStyle w:val="Akapitzlist"/>
        <w:numPr>
          <w:ilvl w:val="0"/>
          <w:numId w:val="5"/>
        </w:numPr>
        <w:tabs>
          <w:tab w:val="left" w:pos="3790"/>
        </w:tabs>
        <w:spacing w:after="0"/>
        <w:jc w:val="both"/>
        <w:rPr>
          <w:rFonts w:cstheme="minorHAnsi"/>
        </w:rPr>
      </w:pPr>
      <w:r w:rsidRPr="00827590">
        <w:rPr>
          <w:rFonts w:cstheme="minorHAnsi"/>
        </w:rPr>
        <w:t>art. 207 ust. 4 ustawy z dnia 27 sierpnia 2009 r. o finansach publicznych,</w:t>
      </w:r>
    </w:p>
    <w:p w:rsidR="002508E7" w:rsidRPr="00827590" w:rsidRDefault="002508E7" w:rsidP="00312B6E">
      <w:pPr>
        <w:pStyle w:val="Akapitzlist"/>
        <w:numPr>
          <w:ilvl w:val="0"/>
          <w:numId w:val="5"/>
        </w:numPr>
        <w:tabs>
          <w:tab w:val="left" w:pos="3790"/>
        </w:tabs>
        <w:spacing w:after="0"/>
        <w:jc w:val="both"/>
        <w:rPr>
          <w:rFonts w:cstheme="minorHAnsi"/>
        </w:rPr>
      </w:pPr>
      <w:r w:rsidRPr="00827590">
        <w:rPr>
          <w:rFonts w:cstheme="minorHAnsi"/>
        </w:rPr>
        <w:t>art. 12 ust. 1 pkt 1 ustawy z dnia 15 czerwca 2012 r. o skutkach powierzania wykonywania pracy cudzoziemcom przebywającym wbrew przepisom na terytorium Rzeczypospolitej Polskiej,</w:t>
      </w:r>
    </w:p>
    <w:p w:rsidR="002508E7" w:rsidRPr="00827590" w:rsidRDefault="002508E7" w:rsidP="00312B6E">
      <w:pPr>
        <w:pStyle w:val="Akapitzlist"/>
        <w:numPr>
          <w:ilvl w:val="0"/>
          <w:numId w:val="5"/>
        </w:numPr>
        <w:tabs>
          <w:tab w:val="left" w:pos="3790"/>
        </w:tabs>
        <w:spacing w:after="0"/>
        <w:jc w:val="both"/>
        <w:rPr>
          <w:rFonts w:cstheme="minorHAnsi"/>
        </w:rPr>
      </w:pPr>
      <w:r w:rsidRPr="00827590">
        <w:rPr>
          <w:rFonts w:cstheme="minorHAnsi"/>
        </w:rPr>
        <w:t>art. 9 ust. 1 pkt 2a ustawy z dnia 28 października 2002 r. o odpowiedzialności podmiotów zbiorowych za czyny zabronione pod groźbą kary</w:t>
      </w:r>
      <w:r w:rsidR="002E701C" w:rsidRPr="00827590">
        <w:rPr>
          <w:rFonts w:cstheme="minorHAnsi"/>
        </w:rPr>
        <w:t>,</w:t>
      </w:r>
    </w:p>
    <w:p w:rsidR="002508E7" w:rsidRPr="00827590" w:rsidRDefault="002508E7" w:rsidP="00312B6E">
      <w:pPr>
        <w:pStyle w:val="Akapitzlist"/>
        <w:numPr>
          <w:ilvl w:val="0"/>
          <w:numId w:val="5"/>
        </w:numPr>
        <w:tabs>
          <w:tab w:val="left" w:pos="3790"/>
        </w:tabs>
        <w:spacing w:after="0"/>
        <w:jc w:val="both"/>
        <w:rPr>
          <w:rFonts w:cstheme="minorHAnsi"/>
        </w:rPr>
      </w:pPr>
      <w:r w:rsidRPr="00827590">
        <w:rPr>
          <w:rFonts w:cstheme="minorHAnsi"/>
        </w:rPr>
        <w:t>art. 61 ust. 3 ustawy z dnia 28 kwietnia 2022 r. o zasadach realizacji zadań finansowanych ze środków europejskich w pe</w:t>
      </w:r>
      <w:r w:rsidR="005038D6" w:rsidRPr="00827590">
        <w:rPr>
          <w:rFonts w:cstheme="minorHAnsi"/>
        </w:rPr>
        <w:t>rspektywie finansowej 2021–2027,</w:t>
      </w:r>
    </w:p>
    <w:p w:rsidR="005038D6" w:rsidRDefault="005038D6" w:rsidP="005038D6">
      <w:pPr>
        <w:pStyle w:val="Akapitzlist"/>
        <w:numPr>
          <w:ilvl w:val="0"/>
          <w:numId w:val="5"/>
        </w:numPr>
        <w:tabs>
          <w:tab w:val="left" w:pos="3790"/>
        </w:tabs>
        <w:spacing w:after="0"/>
        <w:jc w:val="both"/>
        <w:rPr>
          <w:rFonts w:cstheme="minorHAnsi"/>
        </w:rPr>
      </w:pPr>
      <w:r w:rsidRPr="00827590">
        <w:rPr>
          <w:rFonts w:cstheme="minorHAnsi"/>
        </w:rPr>
        <w:t>przepisów ustawy o szczególnych rozwiązaniach w zakresie przeciwdziałania wspieraniu agresji na Ukrainę oraz służących ochronie bezpieczeństwa narodowego z dnia 13 kwietnia 2022 r.</w:t>
      </w:r>
    </w:p>
    <w:p w:rsidR="00B003DE" w:rsidRPr="00B003DE" w:rsidRDefault="00B003DE" w:rsidP="00B003DE">
      <w:pPr>
        <w:pStyle w:val="Akapitzlist"/>
        <w:numPr>
          <w:ilvl w:val="0"/>
          <w:numId w:val="4"/>
        </w:numPr>
        <w:tabs>
          <w:tab w:val="left" w:pos="3790"/>
        </w:tabs>
        <w:spacing w:after="0"/>
        <w:jc w:val="both"/>
        <w:rPr>
          <w:rFonts w:cstheme="minorHAnsi"/>
        </w:rPr>
      </w:pPr>
      <w:r w:rsidRPr="00B003DE">
        <w:rPr>
          <w:rFonts w:cstheme="minorHAnsi"/>
        </w:rPr>
        <w:t>nie jest powiązany kapita</w:t>
      </w:r>
      <w:r>
        <w:rPr>
          <w:rFonts w:cstheme="minorHAnsi"/>
        </w:rPr>
        <w:t xml:space="preserve">łowo lub osobowo z </w:t>
      </w:r>
      <w:proofErr w:type="spellStart"/>
      <w:r>
        <w:rPr>
          <w:rFonts w:cstheme="minorHAnsi"/>
        </w:rPr>
        <w:t>Grantodawcą</w:t>
      </w:r>
      <w:proofErr w:type="spellEnd"/>
      <w:r>
        <w:rPr>
          <w:rFonts w:cstheme="minorHAnsi"/>
        </w:rPr>
        <w:t>.</w:t>
      </w:r>
    </w:p>
    <w:p w:rsidR="00873F2F" w:rsidRPr="00827590" w:rsidRDefault="00873F2F" w:rsidP="00873F2F">
      <w:pPr>
        <w:tabs>
          <w:tab w:val="left" w:pos="3790"/>
        </w:tabs>
        <w:spacing w:after="0"/>
        <w:jc w:val="both"/>
        <w:rPr>
          <w:rFonts w:cstheme="minorHAnsi"/>
        </w:rPr>
      </w:pPr>
    </w:p>
    <w:p w:rsidR="00873F2F" w:rsidRPr="00827590" w:rsidRDefault="00873F2F" w:rsidP="00873F2F">
      <w:pPr>
        <w:tabs>
          <w:tab w:val="left" w:pos="3790"/>
        </w:tabs>
        <w:spacing w:after="0"/>
        <w:jc w:val="center"/>
        <w:rPr>
          <w:rFonts w:cstheme="minorHAnsi"/>
          <w:b/>
        </w:rPr>
      </w:pPr>
      <w:r w:rsidRPr="00827590">
        <w:rPr>
          <w:rFonts w:cstheme="minorHAnsi"/>
          <w:b/>
        </w:rPr>
        <w:t>§5</w:t>
      </w:r>
    </w:p>
    <w:p w:rsidR="00873F2F" w:rsidRPr="00827590" w:rsidRDefault="000D1588" w:rsidP="00873F2F">
      <w:pPr>
        <w:tabs>
          <w:tab w:val="left" w:pos="3790"/>
        </w:tabs>
        <w:spacing w:after="0"/>
        <w:jc w:val="center"/>
        <w:rPr>
          <w:rFonts w:cstheme="minorHAnsi"/>
          <w:b/>
        </w:rPr>
      </w:pPr>
      <w:r w:rsidRPr="00827590">
        <w:rPr>
          <w:rFonts w:cstheme="minorHAnsi"/>
          <w:b/>
        </w:rPr>
        <w:t>Wsparcie w formie grantu</w:t>
      </w:r>
    </w:p>
    <w:p w:rsidR="00840BE3" w:rsidRPr="00827590" w:rsidRDefault="00840BE3" w:rsidP="00840BE3">
      <w:pPr>
        <w:tabs>
          <w:tab w:val="left" w:pos="3790"/>
        </w:tabs>
        <w:spacing w:after="0"/>
        <w:jc w:val="both"/>
        <w:rPr>
          <w:rFonts w:cstheme="minorHAnsi"/>
          <w:b/>
        </w:rPr>
      </w:pPr>
    </w:p>
    <w:p w:rsidR="00840BE3" w:rsidRPr="00827590" w:rsidRDefault="00840BE3" w:rsidP="00312B6E">
      <w:pPr>
        <w:pStyle w:val="Akapitzlist"/>
        <w:numPr>
          <w:ilvl w:val="0"/>
          <w:numId w:val="6"/>
        </w:numPr>
        <w:tabs>
          <w:tab w:val="left" w:pos="3790"/>
        </w:tabs>
        <w:spacing w:after="0"/>
        <w:ind w:left="357" w:hanging="357"/>
        <w:jc w:val="both"/>
        <w:rPr>
          <w:rFonts w:cstheme="minorHAnsi"/>
        </w:rPr>
      </w:pPr>
      <w:r w:rsidRPr="00827590">
        <w:rPr>
          <w:rFonts w:cstheme="minorHAnsi"/>
        </w:rPr>
        <w:t>Granty są powierzane na zakup usług badawczych polegających na opracowaniu dla MŚP nowych lub ulepszonych produktów (wyrobów, usług) lub zmian procesowych.</w:t>
      </w:r>
    </w:p>
    <w:p w:rsidR="00840BE3" w:rsidRPr="00827590" w:rsidRDefault="00840BE3" w:rsidP="00312B6E">
      <w:pPr>
        <w:pStyle w:val="Akapitzlist"/>
        <w:numPr>
          <w:ilvl w:val="0"/>
          <w:numId w:val="6"/>
        </w:numPr>
        <w:tabs>
          <w:tab w:val="left" w:pos="3790"/>
        </w:tabs>
        <w:ind w:left="357" w:hanging="357"/>
        <w:jc w:val="both"/>
        <w:rPr>
          <w:rFonts w:cstheme="minorHAnsi"/>
        </w:rPr>
      </w:pPr>
      <w:r w:rsidRPr="00827590">
        <w:rPr>
          <w:rFonts w:cstheme="minorHAnsi"/>
        </w:rPr>
        <w:t xml:space="preserve">Konieczne jest wykazanie związku pomiędzy realizowanym przedsięwzięciem, a celem </w:t>
      </w:r>
      <w:r w:rsidR="009A71C0" w:rsidRPr="00827590">
        <w:rPr>
          <w:rFonts w:cstheme="minorHAnsi"/>
        </w:rPr>
        <w:t xml:space="preserve">rozwojowym </w:t>
      </w:r>
      <w:r w:rsidRPr="00827590">
        <w:rPr>
          <w:rFonts w:cstheme="minorHAnsi"/>
        </w:rPr>
        <w:t>przedsiębiorstwa, mającym odzwierciedlenie w zwiększeniu rynkowej konkurencyjności np. poprzez zwiększenie sprzedaży, zwiększenie zysku lub zwiększenie zatrudnienia.</w:t>
      </w:r>
    </w:p>
    <w:p w:rsidR="00565D39" w:rsidRPr="00827590" w:rsidRDefault="00565D39" w:rsidP="00312B6E">
      <w:pPr>
        <w:pStyle w:val="Akapitzlist"/>
        <w:numPr>
          <w:ilvl w:val="0"/>
          <w:numId w:val="6"/>
        </w:numPr>
        <w:tabs>
          <w:tab w:val="left" w:pos="3790"/>
        </w:tabs>
        <w:ind w:left="357" w:hanging="357"/>
        <w:jc w:val="both"/>
        <w:rPr>
          <w:rFonts w:cstheme="minorHAnsi"/>
        </w:rPr>
      </w:pPr>
      <w:r w:rsidRPr="00827590">
        <w:rPr>
          <w:rFonts w:cstheme="minorHAnsi"/>
        </w:rPr>
        <w:t xml:space="preserve">Grant na badania może być przyznany na dofinansowanie </w:t>
      </w:r>
      <w:r w:rsidR="00C81C80" w:rsidRPr="00827590">
        <w:rPr>
          <w:rFonts w:cstheme="minorHAnsi"/>
        </w:rPr>
        <w:t>usług:</w:t>
      </w:r>
    </w:p>
    <w:p w:rsidR="00C81C80" w:rsidRPr="00827590" w:rsidRDefault="00C81C80" w:rsidP="00312B6E">
      <w:pPr>
        <w:pStyle w:val="Akapitzlist"/>
        <w:numPr>
          <w:ilvl w:val="0"/>
          <w:numId w:val="7"/>
        </w:numPr>
        <w:tabs>
          <w:tab w:val="left" w:pos="3790"/>
        </w:tabs>
        <w:ind w:left="1071" w:hanging="357"/>
        <w:jc w:val="both"/>
        <w:rPr>
          <w:rFonts w:cstheme="minorHAnsi"/>
        </w:rPr>
      </w:pPr>
      <w:r w:rsidRPr="00827590">
        <w:rPr>
          <w:rFonts w:cstheme="minorHAnsi"/>
        </w:rPr>
        <w:t>przeprowadzenie badań,</w:t>
      </w:r>
    </w:p>
    <w:p w:rsidR="00C81C80" w:rsidRPr="00827590" w:rsidRDefault="00C81C80" w:rsidP="00312B6E">
      <w:pPr>
        <w:pStyle w:val="Akapitzlist"/>
        <w:numPr>
          <w:ilvl w:val="0"/>
          <w:numId w:val="7"/>
        </w:numPr>
        <w:tabs>
          <w:tab w:val="left" w:pos="3790"/>
        </w:tabs>
        <w:ind w:left="1071" w:hanging="357"/>
        <w:jc w:val="both"/>
        <w:rPr>
          <w:rFonts w:cstheme="minorHAnsi"/>
        </w:rPr>
      </w:pPr>
      <w:r w:rsidRPr="00827590">
        <w:rPr>
          <w:rFonts w:cstheme="minorHAnsi"/>
        </w:rPr>
        <w:t>audyt technologiczny,</w:t>
      </w:r>
    </w:p>
    <w:p w:rsidR="00C81C80" w:rsidRPr="00827590" w:rsidRDefault="00C81C80" w:rsidP="00312B6E">
      <w:pPr>
        <w:pStyle w:val="Akapitzlist"/>
        <w:numPr>
          <w:ilvl w:val="0"/>
          <w:numId w:val="7"/>
        </w:numPr>
        <w:tabs>
          <w:tab w:val="left" w:pos="3790"/>
        </w:tabs>
        <w:jc w:val="both"/>
        <w:rPr>
          <w:rFonts w:cstheme="minorHAnsi"/>
        </w:rPr>
      </w:pPr>
      <w:r w:rsidRPr="00827590">
        <w:rPr>
          <w:rFonts w:cstheme="minorHAnsi"/>
        </w:rPr>
        <w:t xml:space="preserve">nabycie licencji, </w:t>
      </w:r>
    </w:p>
    <w:p w:rsidR="00C81C80" w:rsidRPr="00827590" w:rsidRDefault="00C81C80" w:rsidP="00312B6E">
      <w:pPr>
        <w:pStyle w:val="Akapitzlist"/>
        <w:numPr>
          <w:ilvl w:val="0"/>
          <w:numId w:val="7"/>
        </w:numPr>
        <w:tabs>
          <w:tab w:val="left" w:pos="3790"/>
        </w:tabs>
        <w:jc w:val="both"/>
        <w:rPr>
          <w:rFonts w:cstheme="minorHAnsi"/>
        </w:rPr>
      </w:pPr>
      <w:r w:rsidRPr="00827590">
        <w:rPr>
          <w:rFonts w:cstheme="minorHAnsi"/>
        </w:rPr>
        <w:t>wsparcie w zakresie przejścia procedury ochrony praw własności intelektualnej, w tym dokonanie zgłoszenia patentowego, zgłoszenia wzoru użytkowego, zgłoszenia wzoru przemysłowego,</w:t>
      </w:r>
    </w:p>
    <w:p w:rsidR="000D1588" w:rsidRPr="00827590" w:rsidRDefault="00C81C80" w:rsidP="00312B6E">
      <w:pPr>
        <w:pStyle w:val="Akapitzlist"/>
        <w:numPr>
          <w:ilvl w:val="0"/>
          <w:numId w:val="7"/>
        </w:numPr>
        <w:tabs>
          <w:tab w:val="left" w:pos="3790"/>
        </w:tabs>
        <w:jc w:val="both"/>
        <w:rPr>
          <w:rFonts w:cstheme="minorHAnsi"/>
        </w:rPr>
      </w:pPr>
      <w:r w:rsidRPr="00827590">
        <w:rPr>
          <w:rFonts w:cstheme="minorHAnsi"/>
        </w:rPr>
        <w:t>nabycie wyników prac B+R może obejmować prawa własności intelektualnej, w tym patenty, licencji, know-how lub inną nieopatentowaną wiedzę techniczną związaną z wdrażanym produktem lub usługą (z wyłączeniem kosztów procesowych/sądowych).</w:t>
      </w:r>
    </w:p>
    <w:p w:rsidR="00473B26" w:rsidRPr="00827590" w:rsidRDefault="00473B26" w:rsidP="00312B6E">
      <w:pPr>
        <w:pStyle w:val="Akapitzlist"/>
        <w:numPr>
          <w:ilvl w:val="0"/>
          <w:numId w:val="8"/>
        </w:numPr>
        <w:tabs>
          <w:tab w:val="left" w:pos="3790"/>
        </w:tabs>
        <w:ind w:left="357" w:hanging="357"/>
        <w:jc w:val="both"/>
        <w:rPr>
          <w:rFonts w:cstheme="minorHAnsi"/>
        </w:rPr>
      </w:pPr>
      <w:r w:rsidRPr="00827590">
        <w:rPr>
          <w:rFonts w:cstheme="minorHAnsi"/>
        </w:rPr>
        <w:t>Wsparcie w postaci grantu nie może być przeznaczone na badania podstawowe.</w:t>
      </w:r>
    </w:p>
    <w:p w:rsidR="000D1588" w:rsidRPr="00827590" w:rsidRDefault="000D1588" w:rsidP="00312B6E">
      <w:pPr>
        <w:pStyle w:val="Akapitzlist"/>
        <w:numPr>
          <w:ilvl w:val="0"/>
          <w:numId w:val="8"/>
        </w:numPr>
        <w:tabs>
          <w:tab w:val="left" w:pos="3790"/>
        </w:tabs>
        <w:ind w:left="357" w:hanging="357"/>
        <w:jc w:val="both"/>
        <w:rPr>
          <w:rFonts w:cstheme="minorHAnsi"/>
        </w:rPr>
      </w:pPr>
      <w:r w:rsidRPr="00827590">
        <w:rPr>
          <w:rFonts w:cstheme="minorHAnsi"/>
        </w:rPr>
        <w:t>Podatek VAT nie jest wydatkiem kwalifikowanym.</w:t>
      </w:r>
    </w:p>
    <w:p w:rsidR="000D1588" w:rsidRPr="00827590" w:rsidRDefault="000D1588" w:rsidP="00312B6E">
      <w:pPr>
        <w:pStyle w:val="Akapitzlist"/>
        <w:numPr>
          <w:ilvl w:val="0"/>
          <w:numId w:val="8"/>
        </w:numPr>
        <w:tabs>
          <w:tab w:val="left" w:pos="3790"/>
        </w:tabs>
        <w:ind w:left="357" w:hanging="357"/>
        <w:jc w:val="both"/>
        <w:rPr>
          <w:rFonts w:cstheme="minorHAnsi"/>
        </w:rPr>
      </w:pPr>
      <w:r w:rsidRPr="00827590">
        <w:rPr>
          <w:rFonts w:cstheme="minorHAnsi"/>
        </w:rPr>
        <w:t>Przedsiębiorca ma prawo ubiegać się o powierzenie jednego grantu.</w:t>
      </w:r>
    </w:p>
    <w:p w:rsidR="007E002B" w:rsidRPr="00827590" w:rsidRDefault="00577A98" w:rsidP="00312B6E">
      <w:pPr>
        <w:pStyle w:val="Akapitzlist"/>
        <w:numPr>
          <w:ilvl w:val="0"/>
          <w:numId w:val="8"/>
        </w:numPr>
        <w:tabs>
          <w:tab w:val="left" w:pos="3790"/>
        </w:tabs>
        <w:ind w:left="357" w:hanging="357"/>
        <w:jc w:val="both"/>
        <w:rPr>
          <w:rFonts w:cstheme="minorHAnsi"/>
          <w:i/>
        </w:rPr>
      </w:pPr>
      <w:r w:rsidRPr="00827590">
        <w:rPr>
          <w:rFonts w:cstheme="minorHAnsi"/>
        </w:rPr>
        <w:lastRenderedPageBreak/>
        <w:t>W ramach projektu</w:t>
      </w:r>
      <w:r w:rsidR="008C070D" w:rsidRPr="00827590">
        <w:rPr>
          <w:rFonts w:cstheme="minorHAnsi"/>
        </w:rPr>
        <w:t xml:space="preserve"> przewidziano preferencyjne traktowanie przedsiębiorców, którzy działają w obszarach zaliczanych do rdzenia </w:t>
      </w:r>
      <w:r w:rsidR="0041414E" w:rsidRPr="00827590">
        <w:rPr>
          <w:rFonts w:cstheme="minorHAnsi"/>
        </w:rPr>
        <w:t>inteligentnych specjalizacji województwa podlaskiego, określonych w</w:t>
      </w:r>
      <w:r w:rsidR="00974566" w:rsidRPr="00827590">
        <w:rPr>
          <w:rFonts w:cstheme="minorHAnsi"/>
        </w:rPr>
        <w:t xml:space="preserve"> </w:t>
      </w:r>
      <w:r w:rsidR="0041414E" w:rsidRPr="00827590">
        <w:rPr>
          <w:rFonts w:cstheme="minorHAnsi"/>
          <w:i/>
        </w:rPr>
        <w:t>„</w:t>
      </w:r>
      <w:r w:rsidR="00974566" w:rsidRPr="00827590">
        <w:rPr>
          <w:rFonts w:cstheme="minorHAnsi"/>
          <w:i/>
        </w:rPr>
        <w:t>Planie rozwoju przedsiębiorczości w oparciu o inteligentne specjalizacje województwa podlaskiego na lata 2021-2027+ (RIS3 2027+)</w:t>
      </w:r>
      <w:r w:rsidR="0041414E" w:rsidRPr="00827590">
        <w:rPr>
          <w:rFonts w:cstheme="minorHAnsi"/>
          <w:i/>
        </w:rPr>
        <w:t>”</w:t>
      </w:r>
      <w:r w:rsidR="00974566" w:rsidRPr="00827590">
        <w:rPr>
          <w:rFonts w:cstheme="minorHAnsi"/>
          <w:i/>
        </w:rPr>
        <w:t xml:space="preserve">, </w:t>
      </w:r>
      <w:r w:rsidR="00974566" w:rsidRPr="00827590">
        <w:rPr>
          <w:rFonts w:cstheme="minorHAnsi"/>
        </w:rPr>
        <w:t xml:space="preserve">który stanowi Załącznik do </w:t>
      </w:r>
      <w:r w:rsidR="00974566" w:rsidRPr="00827590">
        <w:rPr>
          <w:rFonts w:cstheme="minorHAnsi"/>
          <w:i/>
        </w:rPr>
        <w:t>Uchwały Nr 236/4257/2021 Zarządu Województwa Podlaskiego z dnia 24 listopada 2021 r.:</w:t>
      </w:r>
    </w:p>
    <w:p w:rsidR="00974566" w:rsidRPr="00827590" w:rsidRDefault="00974566" w:rsidP="00312B6E">
      <w:pPr>
        <w:pStyle w:val="Akapitzlist"/>
        <w:numPr>
          <w:ilvl w:val="0"/>
          <w:numId w:val="13"/>
        </w:numPr>
        <w:tabs>
          <w:tab w:val="left" w:pos="3790"/>
        </w:tabs>
        <w:ind w:left="1071" w:hanging="357"/>
        <w:jc w:val="both"/>
        <w:rPr>
          <w:rFonts w:cstheme="minorHAnsi"/>
        </w:rPr>
      </w:pPr>
      <w:r w:rsidRPr="00827590">
        <w:rPr>
          <w:rFonts w:cstheme="minorHAnsi"/>
        </w:rPr>
        <w:t xml:space="preserve">Przemysł </w:t>
      </w:r>
      <w:proofErr w:type="spellStart"/>
      <w:r w:rsidRPr="00827590">
        <w:rPr>
          <w:rFonts w:cstheme="minorHAnsi"/>
        </w:rPr>
        <w:t>rolnospożywczy</w:t>
      </w:r>
      <w:proofErr w:type="spellEnd"/>
      <w:r w:rsidRPr="00827590">
        <w:rPr>
          <w:rFonts w:cstheme="minorHAnsi"/>
        </w:rPr>
        <w:t xml:space="preserve"> i sektory powiązane łańcuchem wartości oraz ICT w powiązaniu z sektorem</w:t>
      </w:r>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wydajne rolnictwo i precyzyjna produkcja roślinna i zwierzęca</w:t>
      </w:r>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przemysł spożywczy, w szczególności produkcja i przetwórstwo mleka</w:t>
      </w:r>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systemy monitorowania wydajności i jakości w produkcji roślinnej, zwierzęcej i przetwórstwie mleka</w:t>
      </w:r>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 xml:space="preserve">żywność wysokiej jakości, żywność tradycyjna, </w:t>
      </w:r>
      <w:proofErr w:type="spellStart"/>
      <w:r w:rsidRPr="00827590">
        <w:rPr>
          <w:rFonts w:cstheme="minorHAnsi"/>
        </w:rPr>
        <w:t>biożywność</w:t>
      </w:r>
      <w:proofErr w:type="spellEnd"/>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logistyka i dystrybucja na potrzeby sektora</w:t>
      </w:r>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wykorzystanie surowców rolniczych na cele niespożywcze</w:t>
      </w:r>
    </w:p>
    <w:p w:rsidR="00974566" w:rsidRPr="00827590" w:rsidRDefault="00974566" w:rsidP="00312B6E">
      <w:pPr>
        <w:pStyle w:val="Akapitzlist"/>
        <w:numPr>
          <w:ilvl w:val="0"/>
          <w:numId w:val="9"/>
        </w:numPr>
        <w:tabs>
          <w:tab w:val="left" w:pos="3790"/>
        </w:tabs>
        <w:jc w:val="both"/>
        <w:rPr>
          <w:rFonts w:cstheme="minorHAnsi"/>
        </w:rPr>
      </w:pPr>
      <w:r w:rsidRPr="00827590">
        <w:rPr>
          <w:rFonts w:cstheme="minorHAnsi"/>
        </w:rPr>
        <w:t>inne powiązane</w:t>
      </w:r>
    </w:p>
    <w:p w:rsidR="00974566" w:rsidRPr="00827590" w:rsidRDefault="00974566" w:rsidP="00312B6E">
      <w:pPr>
        <w:pStyle w:val="Akapitzlist"/>
        <w:numPr>
          <w:ilvl w:val="0"/>
          <w:numId w:val="13"/>
        </w:numPr>
        <w:tabs>
          <w:tab w:val="left" w:pos="3790"/>
        </w:tabs>
        <w:ind w:left="1071" w:hanging="357"/>
        <w:jc w:val="both"/>
        <w:rPr>
          <w:rFonts w:cstheme="minorHAnsi"/>
        </w:rPr>
      </w:pPr>
      <w:r w:rsidRPr="00827590">
        <w:rPr>
          <w:rFonts w:cstheme="minorHAnsi"/>
        </w:rPr>
        <w:t xml:space="preserve">Przemysł </w:t>
      </w:r>
      <w:proofErr w:type="spellStart"/>
      <w:r w:rsidRPr="00827590">
        <w:rPr>
          <w:rFonts w:cstheme="minorHAnsi"/>
        </w:rPr>
        <w:t>metalowomaszynowy</w:t>
      </w:r>
      <w:proofErr w:type="spellEnd"/>
      <w:r w:rsidRPr="00827590">
        <w:rPr>
          <w:rFonts w:cstheme="minorHAnsi"/>
        </w:rPr>
        <w:t>, szkutniczy i sektory powiązane łańcuchem wartości oraz ICT w powiązaniu z sektorem</w:t>
      </w:r>
    </w:p>
    <w:p w:rsidR="00974566" w:rsidRPr="00827590" w:rsidRDefault="00974566" w:rsidP="00312B6E">
      <w:pPr>
        <w:pStyle w:val="Akapitzlist"/>
        <w:numPr>
          <w:ilvl w:val="0"/>
          <w:numId w:val="10"/>
        </w:numPr>
        <w:tabs>
          <w:tab w:val="left" w:pos="3790"/>
        </w:tabs>
        <w:jc w:val="both"/>
        <w:rPr>
          <w:rFonts w:cstheme="minorHAnsi"/>
        </w:rPr>
      </w:pPr>
      <w:r w:rsidRPr="00827590">
        <w:rPr>
          <w:rFonts w:cstheme="minorHAnsi"/>
        </w:rPr>
        <w:t>przetwórstwo metali</w:t>
      </w:r>
    </w:p>
    <w:p w:rsidR="00974566" w:rsidRPr="00827590" w:rsidRDefault="00974566" w:rsidP="00312B6E">
      <w:pPr>
        <w:pStyle w:val="Akapitzlist"/>
        <w:numPr>
          <w:ilvl w:val="0"/>
          <w:numId w:val="10"/>
        </w:numPr>
        <w:tabs>
          <w:tab w:val="left" w:pos="3790"/>
        </w:tabs>
        <w:jc w:val="both"/>
        <w:rPr>
          <w:rFonts w:cstheme="minorHAnsi"/>
        </w:rPr>
      </w:pPr>
      <w:r w:rsidRPr="00827590">
        <w:rPr>
          <w:rFonts w:cstheme="minorHAnsi"/>
        </w:rPr>
        <w:t>produkcja maszyn i urządzeń, w szczególności na potrzeby rolnictwa, budownictwa, leśnictwa i przemysłu spożywczego</w:t>
      </w:r>
    </w:p>
    <w:p w:rsidR="00974566" w:rsidRPr="00827590" w:rsidRDefault="00974566" w:rsidP="00312B6E">
      <w:pPr>
        <w:pStyle w:val="Akapitzlist"/>
        <w:numPr>
          <w:ilvl w:val="0"/>
          <w:numId w:val="10"/>
        </w:numPr>
        <w:tabs>
          <w:tab w:val="left" w:pos="3790"/>
        </w:tabs>
        <w:jc w:val="both"/>
        <w:rPr>
          <w:rFonts w:cstheme="minorHAnsi"/>
        </w:rPr>
      </w:pPr>
      <w:r w:rsidRPr="00827590">
        <w:rPr>
          <w:rFonts w:cstheme="minorHAnsi"/>
        </w:rPr>
        <w:t>produkcja statków i łodzi z wykorzystaniem nowoczesnych materiałów, konstrukcji i oprzyrządowania</w:t>
      </w:r>
    </w:p>
    <w:p w:rsidR="00974566" w:rsidRPr="00827590" w:rsidRDefault="00974566" w:rsidP="00312B6E">
      <w:pPr>
        <w:pStyle w:val="Akapitzlist"/>
        <w:numPr>
          <w:ilvl w:val="0"/>
          <w:numId w:val="10"/>
        </w:numPr>
        <w:tabs>
          <w:tab w:val="left" w:pos="3790"/>
        </w:tabs>
        <w:jc w:val="both"/>
        <w:rPr>
          <w:rFonts w:cstheme="minorHAnsi"/>
        </w:rPr>
      </w:pPr>
      <w:r w:rsidRPr="00827590">
        <w:rPr>
          <w:rFonts w:cstheme="minorHAnsi"/>
        </w:rPr>
        <w:t>robotyka, przemysł 4.0</w:t>
      </w:r>
    </w:p>
    <w:p w:rsidR="00974566" w:rsidRPr="00827590" w:rsidRDefault="00974566" w:rsidP="00312B6E">
      <w:pPr>
        <w:pStyle w:val="Akapitzlist"/>
        <w:numPr>
          <w:ilvl w:val="0"/>
          <w:numId w:val="10"/>
        </w:numPr>
        <w:tabs>
          <w:tab w:val="left" w:pos="3790"/>
        </w:tabs>
        <w:jc w:val="both"/>
        <w:rPr>
          <w:rFonts w:cstheme="minorHAnsi"/>
        </w:rPr>
      </w:pPr>
      <w:r w:rsidRPr="00827590">
        <w:rPr>
          <w:rFonts w:cstheme="minorHAnsi"/>
        </w:rPr>
        <w:t>inne powiązane</w:t>
      </w:r>
    </w:p>
    <w:p w:rsidR="00974566" w:rsidRPr="00827590" w:rsidRDefault="00974566" w:rsidP="00312B6E">
      <w:pPr>
        <w:pStyle w:val="Akapitzlist"/>
        <w:numPr>
          <w:ilvl w:val="0"/>
          <w:numId w:val="13"/>
        </w:numPr>
        <w:tabs>
          <w:tab w:val="left" w:pos="3790"/>
        </w:tabs>
        <w:ind w:left="1071" w:hanging="357"/>
        <w:jc w:val="both"/>
        <w:rPr>
          <w:rFonts w:cstheme="minorHAnsi"/>
        </w:rPr>
      </w:pPr>
      <w:r w:rsidRPr="00827590">
        <w:rPr>
          <w:rFonts w:cstheme="minorHAnsi"/>
        </w:rPr>
        <w:t>Sektor medyczny, nauki o życiu i sektory powiązane łańcuchem wartości oraz ICT w powiązaniu z sektorem</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diagnostyka chorób cywilizacyjnych</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genetyka i biologia molekularna</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wytwarzanie produktów leczniczych</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nowoczesne metody terapii, w tym leczenia bezpłodności</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technologie inżynierii medycznej, biotechnologia/</w:t>
      </w:r>
      <w:proofErr w:type="spellStart"/>
      <w:r w:rsidRPr="00827590">
        <w:rPr>
          <w:rFonts w:cstheme="minorHAnsi"/>
        </w:rPr>
        <w:t>bioinformatyka</w:t>
      </w:r>
      <w:proofErr w:type="spellEnd"/>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medycyna regeneracyjna, srebrna gospodarka</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rehabilitacja, fizykoterapia, turystyka zdrowotna</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implanty medyczne</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technologie sensorowe oraz robotyka w medycynie, Internet rzeczy w medycynie</w:t>
      </w:r>
    </w:p>
    <w:p w:rsidR="00974566" w:rsidRPr="00827590" w:rsidRDefault="00974566" w:rsidP="00312B6E">
      <w:pPr>
        <w:pStyle w:val="Akapitzlist"/>
        <w:numPr>
          <w:ilvl w:val="0"/>
          <w:numId w:val="11"/>
        </w:numPr>
        <w:tabs>
          <w:tab w:val="left" w:pos="3790"/>
        </w:tabs>
        <w:jc w:val="both"/>
        <w:rPr>
          <w:rFonts w:cstheme="minorHAnsi"/>
        </w:rPr>
      </w:pPr>
      <w:r w:rsidRPr="00827590">
        <w:rPr>
          <w:rFonts w:cstheme="minorHAnsi"/>
        </w:rPr>
        <w:t>inne powiązane</w:t>
      </w:r>
    </w:p>
    <w:p w:rsidR="00974566" w:rsidRPr="00827590" w:rsidRDefault="00974566" w:rsidP="00312B6E">
      <w:pPr>
        <w:pStyle w:val="Akapitzlist"/>
        <w:numPr>
          <w:ilvl w:val="0"/>
          <w:numId w:val="13"/>
        </w:numPr>
        <w:tabs>
          <w:tab w:val="left" w:pos="3790"/>
        </w:tabs>
        <w:ind w:left="1071" w:hanging="357"/>
        <w:jc w:val="both"/>
        <w:rPr>
          <w:rFonts w:cstheme="minorHAnsi"/>
        </w:rPr>
      </w:pPr>
      <w:proofErr w:type="spellStart"/>
      <w:r w:rsidRPr="00827590">
        <w:rPr>
          <w:rFonts w:cstheme="minorHAnsi"/>
        </w:rPr>
        <w:t>Ekoinnowacje</w:t>
      </w:r>
      <w:proofErr w:type="spellEnd"/>
      <w:r w:rsidRPr="00827590">
        <w:rPr>
          <w:rFonts w:cstheme="minorHAnsi"/>
        </w:rPr>
        <w:t>, nauki o środowisku i sektory powiązane łańcuchem wartości oraz ICT w powiązaniu z sektorem</w:t>
      </w:r>
    </w:p>
    <w:p w:rsidR="00974566" w:rsidRPr="00827590" w:rsidRDefault="00974566" w:rsidP="00312B6E">
      <w:pPr>
        <w:pStyle w:val="Akapitzlist"/>
        <w:numPr>
          <w:ilvl w:val="0"/>
          <w:numId w:val="12"/>
        </w:numPr>
        <w:tabs>
          <w:tab w:val="left" w:pos="3790"/>
        </w:tabs>
        <w:jc w:val="both"/>
        <w:rPr>
          <w:rFonts w:cstheme="minorHAnsi"/>
        </w:rPr>
      </w:pPr>
      <w:proofErr w:type="spellStart"/>
      <w:r w:rsidRPr="00827590">
        <w:rPr>
          <w:rFonts w:cstheme="minorHAnsi"/>
        </w:rPr>
        <w:t>ekoinnowacje</w:t>
      </w:r>
      <w:proofErr w:type="spellEnd"/>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ekorozwój (np. inżynieria ekologiczna, badania nad bioróżnorodnością, ekoturystyka)</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rolnictwo i przetwórstwo ekologiczne</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zrównoważone pozyskiwanie i przetwarzanie drewna oraz innych surowców</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lastRenderedPageBreak/>
        <w:t>OZE w modelu rozproszonym, produkcja urządzeń do wytwarzania energii z OZE, pozyskiwanie energii z odpadów z wyłączeniem działalności wyrządzających poważne szkody GOZ</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 xml:space="preserve">budownictwo ekologiczne, </w:t>
      </w:r>
      <w:proofErr w:type="spellStart"/>
      <w:r w:rsidRPr="00827590">
        <w:rPr>
          <w:rFonts w:cstheme="minorHAnsi"/>
        </w:rPr>
        <w:t>zasobo</w:t>
      </w:r>
      <w:proofErr w:type="spellEnd"/>
      <w:r w:rsidRPr="00827590">
        <w:rPr>
          <w:rFonts w:cstheme="minorHAnsi"/>
        </w:rPr>
        <w:t>- i energooszczędne, produkcja domów prefabrykowanych, produkcja na potrzeby budownictwa, automatyzacja i robotyzacja procesów w budownictwie proekologicznym</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gospodarka obiegu zamkniętego (GOZ)</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projektowanie zrównoważone</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technologie efektywności energetycznej</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 xml:space="preserve">systemy zarządzania, sterowania i monitorowania w zakresie </w:t>
      </w:r>
      <w:proofErr w:type="spellStart"/>
      <w:r w:rsidRPr="00827590">
        <w:rPr>
          <w:rFonts w:cstheme="minorHAnsi"/>
        </w:rPr>
        <w:t>ekoinnowacji</w:t>
      </w:r>
      <w:proofErr w:type="spellEnd"/>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 xml:space="preserve">rozwiązania dla </w:t>
      </w:r>
      <w:proofErr w:type="spellStart"/>
      <w:r w:rsidRPr="00827590">
        <w:rPr>
          <w:rFonts w:cstheme="minorHAnsi"/>
        </w:rPr>
        <w:t>elektromobilności</w:t>
      </w:r>
      <w:proofErr w:type="spellEnd"/>
      <w:r w:rsidRPr="00827590">
        <w:rPr>
          <w:rFonts w:cstheme="minorHAnsi"/>
        </w:rPr>
        <w:t xml:space="preserve"> i zasilania pojazdów paliwami alternatywnymi</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rozwiązania wykorzystujące technologie wodorowe</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systemy zarządzania wodą</w:t>
      </w:r>
    </w:p>
    <w:p w:rsidR="00974566" w:rsidRPr="00827590" w:rsidRDefault="00974566" w:rsidP="00312B6E">
      <w:pPr>
        <w:pStyle w:val="Akapitzlist"/>
        <w:numPr>
          <w:ilvl w:val="0"/>
          <w:numId w:val="12"/>
        </w:numPr>
        <w:tabs>
          <w:tab w:val="left" w:pos="3790"/>
        </w:tabs>
        <w:jc w:val="both"/>
        <w:rPr>
          <w:rFonts w:cstheme="minorHAnsi"/>
        </w:rPr>
      </w:pPr>
      <w:r w:rsidRPr="00827590">
        <w:rPr>
          <w:rFonts w:cstheme="minorHAnsi"/>
        </w:rPr>
        <w:t>inne powiązane</w:t>
      </w:r>
    </w:p>
    <w:p w:rsidR="002E3D27" w:rsidRDefault="00395079" w:rsidP="00312B6E">
      <w:pPr>
        <w:pStyle w:val="Akapitzlist"/>
        <w:numPr>
          <w:ilvl w:val="0"/>
          <w:numId w:val="14"/>
        </w:numPr>
        <w:tabs>
          <w:tab w:val="left" w:pos="3790"/>
        </w:tabs>
        <w:ind w:left="357" w:hanging="357"/>
        <w:jc w:val="both"/>
        <w:rPr>
          <w:rFonts w:cstheme="minorHAnsi"/>
        </w:rPr>
      </w:pPr>
      <w:r w:rsidRPr="00827590">
        <w:rPr>
          <w:rFonts w:cstheme="minorHAnsi"/>
        </w:rPr>
        <w:t>Grant nie może zostać przyznany na przedsięwzięcie realizowane poza granicami administracyjnymi województwa podlaskiego.</w:t>
      </w:r>
      <w:r w:rsidR="005E0580">
        <w:rPr>
          <w:rFonts w:cstheme="minorHAnsi"/>
        </w:rPr>
        <w:t xml:space="preserve"> </w:t>
      </w:r>
    </w:p>
    <w:p w:rsidR="00395079" w:rsidRPr="00827590" w:rsidRDefault="005E0580" w:rsidP="00312B6E">
      <w:pPr>
        <w:pStyle w:val="Akapitzlist"/>
        <w:numPr>
          <w:ilvl w:val="0"/>
          <w:numId w:val="14"/>
        </w:numPr>
        <w:tabs>
          <w:tab w:val="left" w:pos="3790"/>
        </w:tabs>
        <w:ind w:left="357" w:hanging="357"/>
        <w:jc w:val="both"/>
        <w:rPr>
          <w:rFonts w:cstheme="minorHAnsi"/>
        </w:rPr>
      </w:pPr>
      <w:r w:rsidRPr="00372B10">
        <w:rPr>
          <w:rFonts w:cstheme="minorHAnsi"/>
        </w:rPr>
        <w:t>W przypadku, gdy Beneficjent ostateczny (</w:t>
      </w:r>
      <w:proofErr w:type="spellStart"/>
      <w:r w:rsidRPr="00372B10">
        <w:rPr>
          <w:rFonts w:cstheme="minorHAnsi"/>
        </w:rPr>
        <w:t>Grantobiorca</w:t>
      </w:r>
      <w:proofErr w:type="spellEnd"/>
      <w:r w:rsidRPr="00372B10">
        <w:rPr>
          <w:rFonts w:cstheme="minorHAnsi"/>
        </w:rPr>
        <w:t>) jako prawo do dysponowania nieruchomością stanowiącą lokalizację projektu wskaże tzw. „wirtualne biuro”, grant nie zostanie przyznany. Warunek dotyczący biura projektu wraz z koniecznością dostępu do dokumentacji projektu będzie obowiązywał przez cały okres realizacji przedsięwzięcia od momentu złożenia wniosku o dofinansowanie po jego końcowe rozliczenie.</w:t>
      </w:r>
      <w:r w:rsidR="00A71457">
        <w:rPr>
          <w:rFonts w:cstheme="minorHAnsi"/>
        </w:rPr>
        <w:t xml:space="preserve"> </w:t>
      </w:r>
    </w:p>
    <w:p w:rsidR="00974566" w:rsidRPr="00827590" w:rsidRDefault="00971782" w:rsidP="00312B6E">
      <w:pPr>
        <w:pStyle w:val="Akapitzlist"/>
        <w:numPr>
          <w:ilvl w:val="0"/>
          <w:numId w:val="14"/>
        </w:numPr>
        <w:tabs>
          <w:tab w:val="left" w:pos="3790"/>
        </w:tabs>
        <w:spacing w:after="0"/>
        <w:ind w:left="357" w:hanging="357"/>
        <w:jc w:val="both"/>
        <w:rPr>
          <w:rFonts w:cstheme="minorHAnsi"/>
        </w:rPr>
      </w:pPr>
      <w:r w:rsidRPr="00827590">
        <w:rPr>
          <w:rFonts w:cstheme="minorHAnsi"/>
        </w:rPr>
        <w:t>Grant nie może zostać przyznany na rodzaje działalności wykluczone z możliwości uzyskania pomocy finansowej, o których mowa w:</w:t>
      </w:r>
    </w:p>
    <w:p w:rsidR="00971782" w:rsidRPr="00827590" w:rsidRDefault="00971782" w:rsidP="00312B6E">
      <w:pPr>
        <w:numPr>
          <w:ilvl w:val="0"/>
          <w:numId w:val="15"/>
        </w:numPr>
        <w:autoSpaceDE w:val="0"/>
        <w:autoSpaceDN w:val="0"/>
        <w:adjustRightInd w:val="0"/>
        <w:spacing w:after="0"/>
        <w:jc w:val="both"/>
        <w:rPr>
          <w:rFonts w:cstheme="minorHAnsi"/>
          <w:color w:val="000000"/>
        </w:rPr>
      </w:pPr>
      <w:r w:rsidRPr="00827590">
        <w:rPr>
          <w:rFonts w:cstheme="minorHAnsi"/>
          <w:color w:val="000000"/>
        </w:rPr>
        <w:t xml:space="preserve">art. 7 ust. 1 Rozporządzenia Parlamentu Europejskiego i Rady (UE) nr 2021/1058 z dnia 24 czerwca 2021r. w sprawie Europejskiego Funduszu Regionalnego i Funduszu Spójności: </w:t>
      </w:r>
    </w:p>
    <w:p w:rsidR="00971782" w:rsidRPr="00827590" w:rsidRDefault="00971782" w:rsidP="00312B6E">
      <w:pPr>
        <w:numPr>
          <w:ilvl w:val="0"/>
          <w:numId w:val="16"/>
        </w:numPr>
        <w:autoSpaceDE w:val="0"/>
        <w:autoSpaceDN w:val="0"/>
        <w:adjustRightInd w:val="0"/>
        <w:spacing w:after="0"/>
        <w:contextualSpacing/>
        <w:jc w:val="both"/>
        <w:rPr>
          <w:rFonts w:cstheme="minorHAnsi"/>
          <w:color w:val="000000"/>
        </w:rPr>
      </w:pPr>
      <w:r w:rsidRPr="00827590">
        <w:rPr>
          <w:rFonts w:cstheme="minorHAnsi"/>
          <w:color w:val="000000"/>
        </w:rPr>
        <w:t>likwidację lub budowę elektrowni jądrowych;</w:t>
      </w:r>
    </w:p>
    <w:p w:rsidR="00971782" w:rsidRPr="00827590" w:rsidRDefault="00971782" w:rsidP="00312B6E">
      <w:pPr>
        <w:numPr>
          <w:ilvl w:val="0"/>
          <w:numId w:val="16"/>
        </w:numPr>
        <w:autoSpaceDE w:val="0"/>
        <w:autoSpaceDN w:val="0"/>
        <w:adjustRightInd w:val="0"/>
        <w:spacing w:after="0"/>
        <w:contextualSpacing/>
        <w:jc w:val="both"/>
        <w:rPr>
          <w:rFonts w:cstheme="minorHAnsi"/>
          <w:color w:val="000000"/>
        </w:rPr>
      </w:pPr>
      <w:r w:rsidRPr="00827590">
        <w:rPr>
          <w:rFonts w:cstheme="minorHAnsi"/>
          <w:color w:val="000000"/>
        </w:rPr>
        <w:t>inwestycje służące redukcji emisji gazów cieplarnianych pochodzących z wykazu działań wymienionych w załączniku I do dyrektywy 2003/87/WE;</w:t>
      </w:r>
    </w:p>
    <w:p w:rsidR="00971782" w:rsidRPr="00827590" w:rsidRDefault="00971782" w:rsidP="00312B6E">
      <w:pPr>
        <w:numPr>
          <w:ilvl w:val="0"/>
          <w:numId w:val="16"/>
        </w:numPr>
        <w:autoSpaceDE w:val="0"/>
        <w:autoSpaceDN w:val="0"/>
        <w:adjustRightInd w:val="0"/>
        <w:spacing w:after="0"/>
        <w:contextualSpacing/>
        <w:jc w:val="both"/>
        <w:rPr>
          <w:rFonts w:cstheme="minorHAnsi"/>
          <w:color w:val="000000"/>
        </w:rPr>
      </w:pPr>
      <w:r w:rsidRPr="00827590">
        <w:rPr>
          <w:rFonts w:cstheme="minorHAnsi"/>
          <w:color w:val="000000"/>
        </w:rPr>
        <w:t>wytwarzanie, przetwórstwo i wprowadzanie do obrotu tytoniu i wyrobów tytoniowych;</w:t>
      </w:r>
    </w:p>
    <w:p w:rsidR="00971782" w:rsidRPr="00827590" w:rsidRDefault="00971782" w:rsidP="00312B6E">
      <w:pPr>
        <w:numPr>
          <w:ilvl w:val="0"/>
          <w:numId w:val="16"/>
        </w:numPr>
        <w:autoSpaceDE w:val="0"/>
        <w:autoSpaceDN w:val="0"/>
        <w:adjustRightInd w:val="0"/>
        <w:spacing w:after="0"/>
        <w:contextualSpacing/>
        <w:jc w:val="both"/>
        <w:rPr>
          <w:rFonts w:cstheme="minorHAnsi"/>
          <w:color w:val="000000"/>
        </w:rPr>
      </w:pPr>
      <w:r w:rsidRPr="00827590">
        <w:rPr>
          <w:rFonts w:cstheme="minorHAnsi"/>
          <w:color w:val="000000"/>
        </w:rPr>
        <w:t xml:space="preserve">przedsiębiorstwa znajdujące się w trudnej sytuacji zdefiniowane w art. 2 pkt 18 rozporządzenia (UE) nr 651/2014, chyba że jest to dozwolone w ramach pomocy de </w:t>
      </w:r>
      <w:proofErr w:type="spellStart"/>
      <w:r w:rsidRPr="00827590">
        <w:rPr>
          <w:rFonts w:cstheme="minorHAnsi"/>
          <w:color w:val="000000"/>
        </w:rPr>
        <w:t>minimis</w:t>
      </w:r>
      <w:proofErr w:type="spellEnd"/>
      <w:r w:rsidRPr="00827590">
        <w:rPr>
          <w:rFonts w:cstheme="minorHAnsi"/>
          <w:color w:val="000000"/>
        </w:rPr>
        <w:t xml:space="preserve"> lub tymczasowych zasad pomocy państwa ustanowionych w celu odpowiedzi na wystąpienie wyjątkowych okoliczności;</w:t>
      </w:r>
    </w:p>
    <w:p w:rsidR="00971782" w:rsidRPr="00827590" w:rsidRDefault="00971782" w:rsidP="00312B6E">
      <w:pPr>
        <w:numPr>
          <w:ilvl w:val="0"/>
          <w:numId w:val="16"/>
        </w:numPr>
        <w:autoSpaceDE w:val="0"/>
        <w:autoSpaceDN w:val="0"/>
        <w:adjustRightInd w:val="0"/>
        <w:spacing w:after="0"/>
        <w:contextualSpacing/>
        <w:jc w:val="both"/>
        <w:rPr>
          <w:rFonts w:cstheme="minorHAnsi"/>
          <w:color w:val="000000"/>
        </w:rPr>
      </w:pPr>
      <w:r w:rsidRPr="00827590">
        <w:rPr>
          <w:rFonts w:cstheme="minorHAnsi"/>
          <w:color w:val="000000"/>
        </w:rPr>
        <w:t>inwestycje w infrastrukturę portów lotniczych, z wyjątkiem regionów najbardziej oddalonych lub istniejących regionalnych portów lotniczych zdefiniowanych w art. 2 pkt 153 rozporządzenia (UE) nr 651/2014 w każdym z następujących przypadków:</w:t>
      </w:r>
    </w:p>
    <w:p w:rsidR="00971782" w:rsidRPr="00827590" w:rsidRDefault="00971782" w:rsidP="00312B6E">
      <w:pPr>
        <w:numPr>
          <w:ilvl w:val="0"/>
          <w:numId w:val="16"/>
        </w:numPr>
        <w:autoSpaceDE w:val="0"/>
        <w:autoSpaceDN w:val="0"/>
        <w:adjustRightInd w:val="0"/>
        <w:spacing w:after="0"/>
        <w:ind w:left="1491" w:hanging="357"/>
        <w:contextualSpacing/>
        <w:jc w:val="both"/>
        <w:rPr>
          <w:rFonts w:cstheme="minorHAnsi"/>
          <w:color w:val="000000"/>
        </w:rPr>
      </w:pPr>
      <w:r w:rsidRPr="00827590">
        <w:rPr>
          <w:rFonts w:cstheme="minorHAnsi"/>
          <w:color w:val="000000"/>
        </w:rPr>
        <w:t>inwestycje w środki łagodzące oddziaływanie na środowisko; lub</w:t>
      </w:r>
    </w:p>
    <w:p w:rsidR="00971782" w:rsidRPr="00827590" w:rsidRDefault="00971782" w:rsidP="00312B6E">
      <w:pPr>
        <w:numPr>
          <w:ilvl w:val="0"/>
          <w:numId w:val="16"/>
        </w:numPr>
        <w:autoSpaceDE w:val="0"/>
        <w:autoSpaceDN w:val="0"/>
        <w:adjustRightInd w:val="0"/>
        <w:spacing w:after="0"/>
        <w:ind w:left="1491" w:hanging="357"/>
        <w:contextualSpacing/>
        <w:jc w:val="both"/>
        <w:rPr>
          <w:rFonts w:cstheme="minorHAnsi"/>
          <w:color w:val="000000"/>
        </w:rPr>
      </w:pPr>
      <w:r w:rsidRPr="00827590">
        <w:rPr>
          <w:rFonts w:cstheme="minorHAnsi"/>
          <w:color w:val="000000"/>
        </w:rPr>
        <w:t>inwestycje w ochronę, bezpieczeństwo, jak i systemy zarządzania ruchem lotniczym wynikające z badań nad systemem zarządzania ruchem lotniczym w jednolitej europejskiej przestrzeni powietrznej;</w:t>
      </w:r>
    </w:p>
    <w:p w:rsidR="00971782" w:rsidRPr="00827590" w:rsidRDefault="00971782" w:rsidP="00312B6E">
      <w:pPr>
        <w:numPr>
          <w:ilvl w:val="0"/>
          <w:numId w:val="16"/>
        </w:numPr>
        <w:autoSpaceDE w:val="0"/>
        <w:autoSpaceDN w:val="0"/>
        <w:adjustRightInd w:val="0"/>
        <w:spacing w:after="0"/>
        <w:contextualSpacing/>
        <w:jc w:val="both"/>
        <w:rPr>
          <w:rFonts w:cstheme="minorHAnsi"/>
          <w:color w:val="000000"/>
        </w:rPr>
      </w:pPr>
      <w:r w:rsidRPr="00827590">
        <w:rPr>
          <w:rFonts w:cstheme="minorHAnsi"/>
          <w:color w:val="000000"/>
        </w:rPr>
        <w:t>inwestycje w zakresie składowania odpadów, z wyjątkiem:</w:t>
      </w:r>
    </w:p>
    <w:p w:rsidR="00971782" w:rsidRPr="00827590" w:rsidRDefault="00971782" w:rsidP="00312B6E">
      <w:pPr>
        <w:numPr>
          <w:ilvl w:val="0"/>
          <w:numId w:val="16"/>
        </w:numPr>
        <w:autoSpaceDE w:val="0"/>
        <w:autoSpaceDN w:val="0"/>
        <w:adjustRightInd w:val="0"/>
        <w:spacing w:after="0"/>
        <w:ind w:left="1491" w:hanging="357"/>
        <w:contextualSpacing/>
        <w:jc w:val="both"/>
        <w:rPr>
          <w:rFonts w:cstheme="minorHAnsi"/>
        </w:rPr>
      </w:pPr>
      <w:r w:rsidRPr="00827590">
        <w:rPr>
          <w:rFonts w:cstheme="minorHAnsi"/>
        </w:rPr>
        <w:lastRenderedPageBreak/>
        <w:t>w odniesieniu do regionów najbardziej oddalonych – wyłącznie w należycie uzasadnionych przypadkach; lub</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inwestycji w zakresie zamykania, przekształcania lub zabezpieczania istniejących składowisk, pod warunkiem że takie inwestycje nie zwiększają ich przepustowości;</w:t>
      </w:r>
    </w:p>
    <w:p w:rsidR="00971782" w:rsidRPr="00827590" w:rsidRDefault="00971782" w:rsidP="00312B6E">
      <w:pPr>
        <w:numPr>
          <w:ilvl w:val="0"/>
          <w:numId w:val="16"/>
        </w:numPr>
        <w:spacing w:after="0"/>
        <w:contextualSpacing/>
        <w:jc w:val="both"/>
        <w:rPr>
          <w:rFonts w:cstheme="minorHAnsi"/>
        </w:rPr>
      </w:pPr>
      <w:r w:rsidRPr="00827590">
        <w:rPr>
          <w:rFonts w:cstheme="minorHAnsi"/>
        </w:rPr>
        <w:t>inwestycje służące zwiększeniu przepustowości obiektów przetwarzania odpadów resztkowych; z wyjątkiem:</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w odniesieniu do regionów najbardziej oddalonych – wyłącznie w należycie uzasadnionych przypadkach;</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 xml:space="preserve">inwestycji w zakresie zamykania, przekształcania lub zabezpieczania istniejących składowisk, pod warunkiem że takie inwestycje nie zwiększają ich przepustowości; </w:t>
      </w:r>
    </w:p>
    <w:p w:rsidR="00971782" w:rsidRPr="00827590" w:rsidRDefault="00971782" w:rsidP="00312B6E">
      <w:pPr>
        <w:numPr>
          <w:ilvl w:val="0"/>
          <w:numId w:val="16"/>
        </w:numPr>
        <w:spacing w:after="0"/>
        <w:contextualSpacing/>
        <w:jc w:val="both"/>
        <w:rPr>
          <w:rFonts w:cstheme="minorHAnsi"/>
        </w:rPr>
      </w:pPr>
      <w:r w:rsidRPr="00827590">
        <w:rPr>
          <w:rFonts w:cstheme="minorHAnsi"/>
        </w:rPr>
        <w:t>inwestycje w zakresie produkcji, przetwarzania, transportu, dystrybucji, magazynowania lub spalania paliw kopalnych, z wyjątkiem:</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wymiany systemów ciepłowniczych zasilanych stałymi paliwami kopalnymi, tj. węglem kamiennym, torfem, węglem brunatnym, łupkami bitumicznymi, na systemy grzewcze zasilane gazem ziemnym w celu:</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modernizacji systemów ciepłowniczych i chłodniczych do stanu „efektywnego systemu ciepłowniczego i chłodniczego”, zdefiniowanego w art. 2 pkt 41 dyrektywy 2012/27/UE;</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modernizacji elektrociepłowni do stanu „wysokosprawnej kogeneracji”, zdefiniowanej w art. 2 pkt 34 dyrektywy 2012/27/UE;</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inwestycji w wymianę instalacji zasilanych węglem kamiennym, torfem, węglem brunatnym lub łupkami bitumicznymi, na kotły i systemy ciepłownicze zasilane gazem ziemnym w budynkach mieszkalnych i niemieszkalnych;</w:t>
      </w:r>
    </w:p>
    <w:p w:rsidR="00971782" w:rsidRPr="00827590" w:rsidRDefault="00971782" w:rsidP="00312B6E">
      <w:pPr>
        <w:numPr>
          <w:ilvl w:val="0"/>
          <w:numId w:val="16"/>
        </w:numPr>
        <w:spacing w:after="0"/>
        <w:contextualSpacing/>
        <w:jc w:val="both"/>
        <w:rPr>
          <w:rFonts w:cstheme="minorHAnsi"/>
        </w:rPr>
      </w:pPr>
      <w:r w:rsidRPr="00827590">
        <w:rPr>
          <w:rFonts w:cstheme="minorHAnsi"/>
        </w:rPr>
        <w:t xml:space="preserve">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sidRPr="00827590">
        <w:rPr>
          <w:rFonts w:cstheme="minorHAnsi"/>
        </w:rPr>
        <w:t>biometan</w:t>
      </w:r>
      <w:proofErr w:type="spellEnd"/>
      <w:r w:rsidRPr="00827590">
        <w:rPr>
          <w:rFonts w:cstheme="minorHAnsi"/>
        </w:rPr>
        <w:t xml:space="preserve"> i gaz syntezowy, oraz umożliwiają zastąpienie instalacji zasilanych stałymi paliwami kopalnymi;</w:t>
      </w:r>
    </w:p>
    <w:p w:rsidR="00971782" w:rsidRPr="00827590" w:rsidRDefault="00971782" w:rsidP="00312B6E">
      <w:pPr>
        <w:numPr>
          <w:ilvl w:val="0"/>
          <w:numId w:val="16"/>
        </w:numPr>
        <w:spacing w:after="0"/>
        <w:contextualSpacing/>
        <w:jc w:val="both"/>
        <w:rPr>
          <w:rFonts w:cstheme="minorHAnsi"/>
        </w:rPr>
      </w:pPr>
      <w:r w:rsidRPr="00827590">
        <w:rPr>
          <w:rFonts w:cstheme="minorHAnsi"/>
        </w:rPr>
        <w:t>inwestycji w:</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ekologicznie czyste pojazdy zdefiniowane w dyrektywie Parlamentu Europejskiego i Rady 2009/33/WE(22) do celów publicznych, oraz</w:t>
      </w:r>
    </w:p>
    <w:p w:rsidR="00971782" w:rsidRPr="00827590" w:rsidRDefault="00971782" w:rsidP="00312B6E">
      <w:pPr>
        <w:numPr>
          <w:ilvl w:val="0"/>
          <w:numId w:val="16"/>
        </w:numPr>
        <w:spacing w:after="0"/>
        <w:ind w:left="1491" w:hanging="357"/>
        <w:contextualSpacing/>
        <w:jc w:val="both"/>
        <w:rPr>
          <w:rFonts w:cstheme="minorHAnsi"/>
        </w:rPr>
      </w:pPr>
      <w:r w:rsidRPr="00827590">
        <w:rPr>
          <w:rFonts w:cstheme="minorHAnsi"/>
        </w:rPr>
        <w:t>pojazdy, statki powietrzne i jednostki pływające zaprojektowane i zbudowane lub przystosowane do użytku przez służby ochrony ludności i straż pożarną.</w:t>
      </w:r>
    </w:p>
    <w:p w:rsidR="00971782" w:rsidRPr="00827590" w:rsidRDefault="00971782" w:rsidP="00312B6E">
      <w:pPr>
        <w:numPr>
          <w:ilvl w:val="0"/>
          <w:numId w:val="15"/>
        </w:numPr>
        <w:spacing w:after="0"/>
        <w:contextualSpacing/>
        <w:jc w:val="both"/>
        <w:rPr>
          <w:rFonts w:cstheme="minorHAnsi"/>
        </w:rPr>
      </w:pPr>
      <w:r w:rsidRPr="00827590">
        <w:rPr>
          <w:rFonts w:cstheme="minorHAnsi"/>
        </w:rPr>
        <w:t xml:space="preserve">inwestycji w zakresie zamykania, przekształcania lub zabezpieczania istniejących składowisk, pod warunkiem że takie inwestycje nie zwiększają ich przepustowości; </w:t>
      </w:r>
    </w:p>
    <w:p w:rsidR="00971782" w:rsidRPr="00827590" w:rsidRDefault="00971782" w:rsidP="00312B6E">
      <w:pPr>
        <w:numPr>
          <w:ilvl w:val="0"/>
          <w:numId w:val="17"/>
        </w:numPr>
        <w:spacing w:after="0"/>
        <w:contextualSpacing/>
        <w:jc w:val="both"/>
        <w:rPr>
          <w:rFonts w:cstheme="minorHAnsi"/>
        </w:rPr>
      </w:pPr>
      <w:r w:rsidRPr="00827590">
        <w:rPr>
          <w:rFonts w:cstheme="minorHAnsi"/>
        </w:rPr>
        <w:t>sektor rybołówstwa i akwakultury, zgodnie z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w:t>
      </w:r>
    </w:p>
    <w:p w:rsidR="00971782" w:rsidRPr="00827590" w:rsidRDefault="00971782" w:rsidP="00312B6E">
      <w:pPr>
        <w:numPr>
          <w:ilvl w:val="0"/>
          <w:numId w:val="17"/>
        </w:numPr>
        <w:spacing w:after="0"/>
        <w:contextualSpacing/>
        <w:jc w:val="both"/>
        <w:rPr>
          <w:rFonts w:cstheme="minorHAnsi"/>
        </w:rPr>
      </w:pPr>
      <w:r w:rsidRPr="00827590">
        <w:rPr>
          <w:rFonts w:cstheme="minorHAnsi"/>
        </w:rPr>
        <w:t>sektor produkcji podstawowej produktów rolnych, o których mowa w Załączniku I do Traktatu o funkcjonowaniu Unii Europejskiej;</w:t>
      </w:r>
    </w:p>
    <w:p w:rsidR="00971782" w:rsidRPr="00827590" w:rsidRDefault="00971782" w:rsidP="00312B6E">
      <w:pPr>
        <w:numPr>
          <w:ilvl w:val="0"/>
          <w:numId w:val="17"/>
        </w:numPr>
        <w:spacing w:after="0"/>
        <w:contextualSpacing/>
        <w:jc w:val="both"/>
        <w:rPr>
          <w:rFonts w:cstheme="minorHAnsi"/>
        </w:rPr>
      </w:pPr>
      <w:r w:rsidRPr="00827590">
        <w:rPr>
          <w:rFonts w:cstheme="minorHAnsi"/>
        </w:rPr>
        <w:lastRenderedPageBreak/>
        <w:t>sektor przetwarzania i wprowadzania do obrotu produktów rolnych w następujących przypadkach:</w:t>
      </w:r>
    </w:p>
    <w:p w:rsidR="00971782" w:rsidRPr="00827590" w:rsidRDefault="00971782" w:rsidP="00312B6E">
      <w:pPr>
        <w:numPr>
          <w:ilvl w:val="0"/>
          <w:numId w:val="17"/>
        </w:numPr>
        <w:spacing w:after="0"/>
        <w:ind w:left="1491" w:hanging="357"/>
        <w:contextualSpacing/>
        <w:jc w:val="both"/>
        <w:rPr>
          <w:rFonts w:cstheme="minorHAnsi"/>
        </w:rPr>
      </w:pPr>
      <w:r w:rsidRPr="00827590">
        <w:rPr>
          <w:rFonts w:cstheme="minorHAnsi"/>
        </w:rPr>
        <w:t>kiedy wysokość pomocy ustalana jest na podstawie ceny lub ilości takich produktów nabytych od producentów podstawowych lub wprowadzonych na rynek przez przedsiębiorstwa objęte pomocą; lub</w:t>
      </w:r>
    </w:p>
    <w:p w:rsidR="00971782" w:rsidRPr="00827590" w:rsidRDefault="00971782" w:rsidP="00312B6E">
      <w:pPr>
        <w:numPr>
          <w:ilvl w:val="0"/>
          <w:numId w:val="17"/>
        </w:numPr>
        <w:spacing w:after="0"/>
        <w:ind w:left="1491" w:hanging="357"/>
        <w:contextualSpacing/>
        <w:jc w:val="both"/>
        <w:rPr>
          <w:rFonts w:cstheme="minorHAnsi"/>
        </w:rPr>
      </w:pPr>
      <w:r w:rsidRPr="00827590">
        <w:rPr>
          <w:rFonts w:cstheme="minorHAnsi"/>
        </w:rPr>
        <w:t>kiedy przyznanie pomocy zależy od faktu przekazania jej w części lub w całości producentom surowców;</w:t>
      </w:r>
    </w:p>
    <w:p w:rsidR="00971782" w:rsidRPr="00827590" w:rsidRDefault="00971782" w:rsidP="00312B6E">
      <w:pPr>
        <w:numPr>
          <w:ilvl w:val="0"/>
          <w:numId w:val="17"/>
        </w:numPr>
        <w:spacing w:after="0"/>
        <w:contextualSpacing/>
        <w:jc w:val="both"/>
        <w:rPr>
          <w:rFonts w:cstheme="minorHAnsi"/>
        </w:rPr>
      </w:pPr>
      <w:r w:rsidRPr="00827590">
        <w:rPr>
          <w:rFonts w:cstheme="minorHAnsi"/>
        </w:rPr>
        <w:t>działalność związana z wywozem do państw trzecich lub państw członkowskich, tzn. pomocy bezpośrednio związanej z ilością wywożonych produktów, tworzeniem i prowadzeniem sieci dystrybucyjnej lub innymi wydatkami bieżącymi związanymi z prowadzeniem działalności wywozowej;</w:t>
      </w:r>
    </w:p>
    <w:p w:rsidR="00971782" w:rsidRPr="00827590" w:rsidRDefault="00971782" w:rsidP="00312B6E">
      <w:pPr>
        <w:numPr>
          <w:ilvl w:val="0"/>
          <w:numId w:val="17"/>
        </w:numPr>
        <w:spacing w:after="0"/>
        <w:contextualSpacing/>
        <w:jc w:val="both"/>
        <w:rPr>
          <w:rFonts w:cstheme="minorHAnsi"/>
        </w:rPr>
      </w:pPr>
      <w:r w:rsidRPr="00827590">
        <w:rPr>
          <w:rFonts w:cstheme="minorHAnsi"/>
        </w:rPr>
        <w:t>działalność uzależnioną od wykorzystywania towarów produkcji krajowej uprzywilejowanych względem towarów przywożonych z zagranicy.</w:t>
      </w:r>
    </w:p>
    <w:p w:rsidR="00971782" w:rsidRPr="00827590" w:rsidRDefault="00971782" w:rsidP="00AE24E2">
      <w:pPr>
        <w:rPr>
          <w:rFonts w:cstheme="minorHAnsi"/>
        </w:rPr>
      </w:pPr>
    </w:p>
    <w:p w:rsidR="00AE24E2" w:rsidRPr="00827590" w:rsidRDefault="00AE24E2" w:rsidP="00AE24E2">
      <w:pPr>
        <w:tabs>
          <w:tab w:val="left" w:pos="3790"/>
        </w:tabs>
        <w:spacing w:after="0"/>
        <w:jc w:val="center"/>
        <w:rPr>
          <w:rFonts w:cstheme="minorHAnsi"/>
          <w:b/>
        </w:rPr>
      </w:pPr>
      <w:r w:rsidRPr="00827590">
        <w:rPr>
          <w:rFonts w:cstheme="minorHAnsi"/>
          <w:b/>
        </w:rPr>
        <w:t>§6</w:t>
      </w:r>
    </w:p>
    <w:p w:rsidR="00AE24E2" w:rsidRPr="00827590" w:rsidRDefault="00AE24E2" w:rsidP="00AE24E2">
      <w:pPr>
        <w:tabs>
          <w:tab w:val="left" w:pos="3790"/>
        </w:tabs>
        <w:spacing w:after="0"/>
        <w:jc w:val="center"/>
        <w:rPr>
          <w:rFonts w:cstheme="minorHAnsi"/>
          <w:b/>
        </w:rPr>
      </w:pPr>
      <w:r w:rsidRPr="00827590">
        <w:rPr>
          <w:rFonts w:cstheme="minorHAnsi"/>
          <w:b/>
        </w:rPr>
        <w:t>Okres realizacji działań</w:t>
      </w:r>
    </w:p>
    <w:p w:rsidR="00AE24E2" w:rsidRPr="00827590" w:rsidRDefault="00AE24E2" w:rsidP="00AE24E2">
      <w:pPr>
        <w:tabs>
          <w:tab w:val="left" w:pos="3790"/>
        </w:tabs>
        <w:spacing w:after="0"/>
        <w:jc w:val="center"/>
        <w:rPr>
          <w:rFonts w:cstheme="minorHAnsi"/>
          <w:b/>
        </w:rPr>
      </w:pPr>
    </w:p>
    <w:p w:rsidR="00AE24E2" w:rsidRPr="00827590" w:rsidRDefault="00AE24E2" w:rsidP="00D924A4">
      <w:pPr>
        <w:pStyle w:val="Akapitzlist"/>
        <w:numPr>
          <w:ilvl w:val="0"/>
          <w:numId w:val="18"/>
        </w:numPr>
        <w:tabs>
          <w:tab w:val="left" w:pos="3790"/>
        </w:tabs>
        <w:spacing w:after="0"/>
        <w:ind w:left="357" w:hanging="357"/>
        <w:jc w:val="both"/>
        <w:rPr>
          <w:rFonts w:cstheme="minorHAnsi"/>
        </w:rPr>
      </w:pPr>
      <w:r w:rsidRPr="00827590">
        <w:rPr>
          <w:rFonts w:cstheme="minorHAnsi"/>
        </w:rPr>
        <w:t>Realizacja działań w ramach przedsięwzięcia może trwać maksymalnie 12 miesięcy, ale nie dłużej niż do 31 grudnia 2025 r.</w:t>
      </w:r>
    </w:p>
    <w:p w:rsidR="00AE24E2" w:rsidRPr="00827590" w:rsidRDefault="00726B0B" w:rsidP="00D924A4">
      <w:pPr>
        <w:pStyle w:val="Akapitzlist"/>
        <w:numPr>
          <w:ilvl w:val="0"/>
          <w:numId w:val="18"/>
        </w:numPr>
        <w:tabs>
          <w:tab w:val="left" w:pos="3790"/>
        </w:tabs>
        <w:spacing w:after="0"/>
        <w:ind w:left="357" w:hanging="357"/>
        <w:jc w:val="both"/>
        <w:rPr>
          <w:rFonts w:cstheme="minorHAnsi"/>
        </w:rPr>
      </w:pPr>
      <w:proofErr w:type="spellStart"/>
      <w:r w:rsidRPr="00827590">
        <w:rPr>
          <w:rFonts w:cstheme="minorHAnsi"/>
        </w:rPr>
        <w:t>Grantobiorca</w:t>
      </w:r>
      <w:proofErr w:type="spellEnd"/>
      <w:r w:rsidR="00AE24E2" w:rsidRPr="00827590">
        <w:rPr>
          <w:rFonts w:cstheme="minorHAnsi"/>
        </w:rPr>
        <w:t xml:space="preserve"> powinien przeprowadzić rozeznanie rynku w</w:t>
      </w:r>
      <w:r w:rsidRPr="00827590">
        <w:rPr>
          <w:rFonts w:cstheme="minorHAnsi"/>
        </w:rPr>
        <w:t xml:space="preserve"> </w:t>
      </w:r>
      <w:r w:rsidR="00AE24E2" w:rsidRPr="00827590">
        <w:rPr>
          <w:rFonts w:cstheme="minorHAnsi"/>
        </w:rPr>
        <w:t>zakresie planowanych zakupów usług i/lub wartości niematerialnych i prawnych oraz</w:t>
      </w:r>
      <w:r w:rsidRPr="00827590">
        <w:rPr>
          <w:rFonts w:cstheme="minorHAnsi"/>
        </w:rPr>
        <w:t xml:space="preserve"> </w:t>
      </w:r>
      <w:r w:rsidR="00AE24E2" w:rsidRPr="00827590">
        <w:rPr>
          <w:rFonts w:cstheme="minorHAnsi"/>
        </w:rPr>
        <w:t>dokonać wyboru wykonawcó</w:t>
      </w:r>
      <w:r w:rsidRPr="00827590">
        <w:rPr>
          <w:rFonts w:cstheme="minorHAnsi"/>
        </w:rPr>
        <w:t>w/dostawców tych usług i dostaw przed złożeniem wniosku o powierzenie grantu.</w:t>
      </w:r>
    </w:p>
    <w:p w:rsidR="00726B0B" w:rsidRPr="00827590" w:rsidRDefault="00726B0B" w:rsidP="00D924A4">
      <w:pPr>
        <w:pStyle w:val="Akapitzlist"/>
        <w:numPr>
          <w:ilvl w:val="0"/>
          <w:numId w:val="18"/>
        </w:numPr>
        <w:tabs>
          <w:tab w:val="left" w:pos="3790"/>
        </w:tabs>
        <w:spacing w:after="0"/>
        <w:ind w:left="357" w:hanging="357"/>
        <w:jc w:val="both"/>
        <w:rPr>
          <w:rFonts w:cstheme="minorHAnsi"/>
        </w:rPr>
      </w:pPr>
      <w:r w:rsidRPr="00827590">
        <w:rPr>
          <w:rFonts w:cstheme="minorHAnsi"/>
        </w:rPr>
        <w:t xml:space="preserve">Rozpoczęcie realizacji przedsięwzięcia może nastąpić najwcześniej dzień po dniu zawarcia umowy o powierzenie grantu. </w:t>
      </w:r>
    </w:p>
    <w:p w:rsidR="0038500F" w:rsidRPr="00827590" w:rsidRDefault="0038500F" w:rsidP="00D924A4">
      <w:pPr>
        <w:pStyle w:val="Akapitzlist"/>
        <w:numPr>
          <w:ilvl w:val="0"/>
          <w:numId w:val="18"/>
        </w:numPr>
        <w:ind w:left="357" w:hanging="357"/>
        <w:jc w:val="both"/>
        <w:rPr>
          <w:rFonts w:cstheme="minorHAnsi"/>
        </w:rPr>
      </w:pPr>
      <w:r w:rsidRPr="00827590">
        <w:rPr>
          <w:rFonts w:cstheme="minorHAnsi"/>
        </w:rPr>
        <w:t xml:space="preserve">Grant nie może być przyznany na przedsięwzięcie, które zostało zakończone lub zrealizowane przed złożeniem wniosku o powierzenie grantu. </w:t>
      </w:r>
    </w:p>
    <w:p w:rsidR="008D0A5F" w:rsidRPr="00827590" w:rsidRDefault="008D0A5F" w:rsidP="008D0A5F">
      <w:pPr>
        <w:tabs>
          <w:tab w:val="left" w:pos="3790"/>
        </w:tabs>
        <w:spacing w:after="0"/>
        <w:jc w:val="center"/>
        <w:rPr>
          <w:rFonts w:cstheme="minorHAnsi"/>
          <w:b/>
        </w:rPr>
      </w:pPr>
      <w:r w:rsidRPr="00827590">
        <w:rPr>
          <w:rFonts w:cstheme="minorHAnsi"/>
          <w:b/>
        </w:rPr>
        <w:t>§7</w:t>
      </w:r>
    </w:p>
    <w:p w:rsidR="008D0A5F" w:rsidRPr="00827590" w:rsidRDefault="007F7C1B" w:rsidP="004F49E7">
      <w:pPr>
        <w:jc w:val="center"/>
        <w:rPr>
          <w:rFonts w:cstheme="minorHAnsi"/>
          <w:b/>
        </w:rPr>
      </w:pPr>
      <w:r w:rsidRPr="00827590">
        <w:rPr>
          <w:rFonts w:cstheme="minorHAnsi"/>
          <w:b/>
        </w:rPr>
        <w:t>Wykonawcy usług</w:t>
      </w:r>
    </w:p>
    <w:p w:rsidR="00AA2837" w:rsidRPr="001A7C59" w:rsidRDefault="009B047A" w:rsidP="00AA2837">
      <w:pPr>
        <w:pStyle w:val="Akapitzlist"/>
        <w:numPr>
          <w:ilvl w:val="0"/>
          <w:numId w:val="19"/>
        </w:numPr>
        <w:spacing w:after="0"/>
        <w:ind w:left="357" w:hanging="357"/>
        <w:jc w:val="both"/>
        <w:rPr>
          <w:rFonts w:cstheme="minorHAnsi"/>
        </w:rPr>
      </w:pPr>
      <w:proofErr w:type="spellStart"/>
      <w:r w:rsidRPr="009B047A">
        <w:rPr>
          <w:rFonts w:cstheme="minorHAnsi"/>
        </w:rPr>
        <w:t>Grantobiorcy</w:t>
      </w:r>
      <w:proofErr w:type="spellEnd"/>
      <w:r w:rsidRPr="009B047A">
        <w:rPr>
          <w:rFonts w:cstheme="minorHAnsi"/>
        </w:rPr>
        <w:t xml:space="preserve"> zobowiązani są do przygotowania i przeprowadzenia postępowania o udzielenie zamówienia w sposób zapewniający zachowanie uczciwej konkurencji oraz równe traktowanie wykonawców, a także do działania w sposób przejrzysty i proporcjonalny.</w:t>
      </w:r>
    </w:p>
    <w:p w:rsidR="00AE32D6" w:rsidRPr="001A7C59" w:rsidRDefault="00B17D22" w:rsidP="00312B6E">
      <w:pPr>
        <w:pStyle w:val="Akapitzlist"/>
        <w:numPr>
          <w:ilvl w:val="0"/>
          <w:numId w:val="19"/>
        </w:numPr>
        <w:ind w:left="357" w:hanging="357"/>
        <w:jc w:val="both"/>
        <w:rPr>
          <w:rFonts w:cstheme="minorHAnsi"/>
        </w:rPr>
      </w:pPr>
      <w:proofErr w:type="spellStart"/>
      <w:r w:rsidRPr="00827590">
        <w:rPr>
          <w:rFonts w:cstheme="minorHAnsi"/>
        </w:rPr>
        <w:t>Grantobiorca</w:t>
      </w:r>
      <w:proofErr w:type="spellEnd"/>
      <w:r w:rsidRPr="00827590">
        <w:rPr>
          <w:rFonts w:cstheme="minorHAnsi"/>
        </w:rPr>
        <w:t xml:space="preserve"> dokonuje wyboru Wykonawcy Usługi kierując się jego możliwościami technicznymi oraz doświadczeniem badawczym i wdrożeniowym, a także mając na względzie racjonalny stosunek jakości do oferowanej przez Wykonawcę Usługi ceny.</w:t>
      </w:r>
      <w:r w:rsidR="00657968">
        <w:rPr>
          <w:rFonts w:cstheme="minorHAnsi"/>
        </w:rPr>
        <w:t xml:space="preserve"> </w:t>
      </w:r>
      <w:r w:rsidR="009B047A" w:rsidRPr="009B047A">
        <w:rPr>
          <w:rFonts w:cstheme="minorHAnsi"/>
        </w:rPr>
        <w:t>Wykonawca musi posiadać PKD działalności dotyczące usług badawczych.</w:t>
      </w:r>
    </w:p>
    <w:p w:rsidR="00B17D22" w:rsidRPr="00827590" w:rsidRDefault="00B17D22" w:rsidP="00312B6E">
      <w:pPr>
        <w:pStyle w:val="Akapitzlist"/>
        <w:numPr>
          <w:ilvl w:val="0"/>
          <w:numId w:val="19"/>
        </w:numPr>
        <w:ind w:left="357" w:hanging="357"/>
        <w:jc w:val="both"/>
        <w:rPr>
          <w:rFonts w:cstheme="minorHAnsi"/>
        </w:rPr>
      </w:pPr>
      <w:proofErr w:type="spellStart"/>
      <w:r w:rsidRPr="00827590">
        <w:rPr>
          <w:rFonts w:cstheme="minorHAnsi"/>
        </w:rPr>
        <w:t>Grantobiorca</w:t>
      </w:r>
      <w:proofErr w:type="spellEnd"/>
      <w:r w:rsidRPr="00827590">
        <w:rPr>
          <w:rFonts w:cstheme="minorHAnsi"/>
        </w:rPr>
        <w:t xml:space="preserve"> zobowiązany jest upublicznić zapytanie ofertowe poprzez zamieszczenie zapytania ofertowego na stronie internetowej </w:t>
      </w:r>
      <w:proofErr w:type="spellStart"/>
      <w:r w:rsidRPr="00827590">
        <w:rPr>
          <w:rFonts w:cstheme="minorHAnsi"/>
        </w:rPr>
        <w:t>Grantobiorcy</w:t>
      </w:r>
      <w:proofErr w:type="spellEnd"/>
      <w:r w:rsidRPr="00827590">
        <w:rPr>
          <w:rFonts w:cstheme="minorHAnsi"/>
        </w:rPr>
        <w:t xml:space="preserve"> lub na stronie internetowej projektu „Bon na badania”.</w:t>
      </w:r>
    </w:p>
    <w:p w:rsidR="001F2A68" w:rsidRPr="00827590" w:rsidRDefault="001F2A68" w:rsidP="00312B6E">
      <w:pPr>
        <w:pStyle w:val="Akapitzlist"/>
        <w:numPr>
          <w:ilvl w:val="0"/>
          <w:numId w:val="19"/>
        </w:numPr>
        <w:ind w:left="357" w:hanging="357"/>
        <w:jc w:val="both"/>
        <w:rPr>
          <w:rFonts w:cstheme="minorHAnsi"/>
        </w:rPr>
      </w:pPr>
      <w:r w:rsidRPr="00827590">
        <w:rPr>
          <w:rFonts w:cstheme="minorHAnsi"/>
        </w:rPr>
        <w:t>Zapytanie ofertowe musi zawierać w szczególności:</w:t>
      </w:r>
    </w:p>
    <w:p w:rsidR="005868D4" w:rsidRPr="00827590" w:rsidRDefault="007D1B57" w:rsidP="00312B6E">
      <w:pPr>
        <w:pStyle w:val="Akapitzlist"/>
        <w:numPr>
          <w:ilvl w:val="1"/>
          <w:numId w:val="20"/>
        </w:numPr>
        <w:ind w:left="714" w:hanging="357"/>
        <w:jc w:val="both"/>
        <w:rPr>
          <w:rFonts w:cstheme="minorHAnsi"/>
        </w:rPr>
      </w:pPr>
      <w:r w:rsidRPr="00827590">
        <w:rPr>
          <w:rFonts w:cstheme="minorHAnsi"/>
        </w:rPr>
        <w:t>opis przedmiotu zamówienia (wystarczająco szczegółowy i jednoznaczny),</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lastRenderedPageBreak/>
        <w:t>warunki udziału w postępowaniu oraz opis sposobu dokonywania oceny ich spełniania, o ile warunki te są wymagane przez zamawiającego,</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kryteria oceny ofert, informację o wagach punktowych lub procentowych przypisanych do poszczególnych kryteriów oceny ofert oraz opis sposobu przyznawania punktacji za spełnienie danego kryterium oceny ofert,</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termin i sposób składania ofert,</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termin wykonania zamówienia,</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informację na temat zakazu konfliktu interesów,</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określenie warunków istotnych zmian umowy zawartej w wyniku przeprowadzonego postępowania o udzielenie zamówienia, o ile zamawiający przewiduje możliwość zmiany umowy,</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opis części zamówienia, jeżeli zamawiający dopuszcza składanie ofert częściowych oraz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w sytuacji, gdy zamawiający udziela zamówienia w częściach, informację, że dane postępowanie obejmuje jedynie część zamówienia, wraz z określeniem zakresu lub wartości całego zamówienia oraz informacjami co do pozostałych części zamówienia,</w:t>
      </w:r>
    </w:p>
    <w:p w:rsidR="005868D4" w:rsidRPr="00827590" w:rsidRDefault="005868D4" w:rsidP="00312B6E">
      <w:pPr>
        <w:pStyle w:val="Akapitzlist"/>
        <w:numPr>
          <w:ilvl w:val="1"/>
          <w:numId w:val="20"/>
        </w:numPr>
        <w:ind w:left="714" w:hanging="357"/>
        <w:jc w:val="both"/>
        <w:rPr>
          <w:rFonts w:cstheme="minorHAnsi"/>
        </w:rPr>
      </w:pPr>
      <w:r w:rsidRPr="00827590">
        <w:rPr>
          <w:rFonts w:cstheme="minorHAnsi"/>
        </w:rPr>
        <w:t>informacje dotyczące ofert wariantowych, jeżeli zamawiający wymaga lub dopuszcza ich składanie, w tym opis sposobu przedstawiania ofert wariantowych oraz minimalne warunki, jakim muszą odpowiadać oferty wariantowe wraz z wybranymi kryteriami oceny oraz informacja, czy oferta wariantowa powinna być złożona wraz z ofertą albo zamiast oferty.</w:t>
      </w:r>
    </w:p>
    <w:p w:rsidR="007A656D" w:rsidRPr="00827590" w:rsidRDefault="007A656D" w:rsidP="00312B6E">
      <w:pPr>
        <w:pStyle w:val="Akapitzlist"/>
        <w:numPr>
          <w:ilvl w:val="0"/>
          <w:numId w:val="19"/>
        </w:numPr>
        <w:ind w:left="357" w:hanging="357"/>
        <w:jc w:val="both"/>
        <w:rPr>
          <w:rFonts w:cstheme="minorHAnsi"/>
        </w:rPr>
      </w:pPr>
      <w:r w:rsidRPr="00827590">
        <w:rPr>
          <w:rFonts w:cstheme="minorHAnsi"/>
        </w:rPr>
        <w:t>Informację o wyniku postępowania ogłasza się w taki sposób, w jaki zostało upublicznione zapytanie ofertowe. Informacja ta zawiera imię i nazwisko albo nazwę wybranego wykonawcy, jego siedzibę (miejscowość) oraz cenę najkorzystniejszej oferty.</w:t>
      </w:r>
    </w:p>
    <w:p w:rsidR="007A656D" w:rsidRPr="00827590" w:rsidRDefault="007A656D" w:rsidP="00312B6E">
      <w:pPr>
        <w:pStyle w:val="Akapitzlist"/>
        <w:numPr>
          <w:ilvl w:val="0"/>
          <w:numId w:val="19"/>
        </w:numPr>
        <w:ind w:left="357" w:hanging="357"/>
        <w:jc w:val="both"/>
        <w:rPr>
          <w:rFonts w:cstheme="minorHAnsi"/>
        </w:rPr>
      </w:pPr>
      <w:r w:rsidRPr="00827590">
        <w:rPr>
          <w:rFonts w:cstheme="minorHAnsi"/>
        </w:rPr>
        <w:t xml:space="preserve">Wybór najkorzystniejszej oferty </w:t>
      </w:r>
      <w:r w:rsidR="00B76FD1" w:rsidRPr="00827590">
        <w:rPr>
          <w:rFonts w:cstheme="minorHAnsi"/>
        </w:rPr>
        <w:t>musi być</w:t>
      </w:r>
      <w:r w:rsidRPr="00827590">
        <w:rPr>
          <w:rFonts w:cstheme="minorHAnsi"/>
        </w:rPr>
        <w:t xml:space="preserve"> </w:t>
      </w:r>
      <w:r w:rsidR="00B76FD1" w:rsidRPr="00827590">
        <w:rPr>
          <w:rFonts w:cstheme="minorHAnsi"/>
        </w:rPr>
        <w:t>u</w:t>
      </w:r>
      <w:r w:rsidRPr="00827590">
        <w:rPr>
          <w:rFonts w:cstheme="minorHAnsi"/>
        </w:rPr>
        <w:t>dokumentowany pisemnie za pomocą protokołu postępowania o udzielenie zamówienia, zawierającego co najmniej:</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wykaz wszystkich ofert, które wpłynęły w odpowiedzi na zapytanie ofertowe (w szczególności imię i nazwisko albo nazwa wykonawcy, jego siedziba oraz cena),</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wykryte przypadki konfliktu interesów i podjęte w związku z tym środki albo informację o braku występowania konfliktu interesów,</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informację o spełnieniu warunków udziału w postępowaniu przez wykonawców, o ile takie warunki były stawiane,</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informację o wagach punktowych lub procentowych przypisanych do poszczególnych kryteriów oceny i przyznanej punktacji poszczególnym wykonawcom za spełnienie danego kryterium,</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uzasadnienie rezygnacji z dopuszczenia możliwości składania ofert częściowych (jeśli dotyczy),</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powody odrzucenia ofert, w tym ofert uznanych za rażąco niskie (o ile dotyczy),</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lastRenderedPageBreak/>
        <w:t>wskazanie wybranej oferty (imię i nazwisko albo nazwa wykonawcy) wraz z uzasadnieniem wyboru albo powodów, dla których zamawiający postanowił zrezygnować z udzielenia zamówienia,</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imiona i nazwiska osób, które wykonywały czynności w prowadzonym postępowaniu,</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datę sporządzenia protokołu,</w:t>
      </w:r>
    </w:p>
    <w:p w:rsidR="00B76FD1" w:rsidRPr="00827590" w:rsidRDefault="00B76FD1" w:rsidP="00312B6E">
      <w:pPr>
        <w:pStyle w:val="Akapitzlist"/>
        <w:numPr>
          <w:ilvl w:val="0"/>
          <w:numId w:val="21"/>
        </w:numPr>
        <w:ind w:left="714" w:hanging="357"/>
        <w:jc w:val="both"/>
        <w:rPr>
          <w:rFonts w:cstheme="minorHAnsi"/>
        </w:rPr>
      </w:pPr>
      <w:r w:rsidRPr="00827590">
        <w:rPr>
          <w:rFonts w:cstheme="minorHAnsi"/>
        </w:rPr>
        <w:t>następujące załączniki:</w:t>
      </w:r>
    </w:p>
    <w:p w:rsidR="00B76FD1" w:rsidRPr="00827590" w:rsidRDefault="00B76FD1" w:rsidP="00312B6E">
      <w:pPr>
        <w:pStyle w:val="Akapitzlist"/>
        <w:numPr>
          <w:ilvl w:val="0"/>
          <w:numId w:val="22"/>
        </w:numPr>
        <w:jc w:val="both"/>
        <w:rPr>
          <w:rFonts w:cstheme="minorHAnsi"/>
        </w:rPr>
      </w:pPr>
      <w:r w:rsidRPr="00827590">
        <w:rPr>
          <w:rFonts w:cstheme="minorHAnsi"/>
        </w:rPr>
        <w:t>oświadczenie w formie pisemnej lub w formie elektronicznej (w rozumieniu odpowiednio art. 78 i art. 78 Kodeksu cywilnego) o braku istnienia albo braku wpływu powiązań osobowych lub kapitałowych z wykonawcami na bezstronność postępowania,</w:t>
      </w:r>
    </w:p>
    <w:p w:rsidR="00B76FD1" w:rsidRDefault="00B76FD1" w:rsidP="00312B6E">
      <w:pPr>
        <w:pStyle w:val="Akapitzlist"/>
        <w:numPr>
          <w:ilvl w:val="0"/>
          <w:numId w:val="22"/>
        </w:numPr>
        <w:jc w:val="both"/>
        <w:rPr>
          <w:rFonts w:cstheme="minorHAnsi"/>
        </w:rPr>
      </w:pPr>
      <w:r w:rsidRPr="00827590">
        <w:rPr>
          <w:rFonts w:cstheme="minorHAnsi"/>
        </w:rPr>
        <w:t>dowód ogłoszenia zapytania ofertowego (oraz jego zmian, o ile zostały dokonane) wraz ze złożonymi ofertami, oraz wymiany informacji po</w:t>
      </w:r>
      <w:r w:rsidR="00D555E1">
        <w:rPr>
          <w:rFonts w:cstheme="minorHAnsi"/>
        </w:rPr>
        <w:t>między zamawiającym a wykonawcą,</w:t>
      </w:r>
    </w:p>
    <w:p w:rsidR="00D555E1" w:rsidRPr="00D555E1" w:rsidRDefault="00D555E1" w:rsidP="00D555E1">
      <w:pPr>
        <w:pStyle w:val="Akapitzlist"/>
        <w:numPr>
          <w:ilvl w:val="0"/>
          <w:numId w:val="22"/>
        </w:numPr>
        <w:jc w:val="both"/>
        <w:rPr>
          <w:rFonts w:cstheme="minorHAnsi"/>
        </w:rPr>
      </w:pPr>
      <w:r>
        <w:rPr>
          <w:rFonts w:cstheme="minorHAnsi"/>
        </w:rPr>
        <w:t>d</w:t>
      </w:r>
      <w:r w:rsidRPr="00D555E1">
        <w:rPr>
          <w:rFonts w:cstheme="minorHAnsi"/>
        </w:rPr>
        <w:t xml:space="preserve">owód ogłoszenia Informacji o wyniku postępowania </w:t>
      </w:r>
      <w:r w:rsidR="009B047A" w:rsidRPr="009B047A">
        <w:rPr>
          <w:rFonts w:cstheme="minorHAnsi"/>
        </w:rPr>
        <w:t>na tej samej stronie www co zapytanie ofertowe</w:t>
      </w:r>
      <w:r w:rsidR="00AA2837">
        <w:rPr>
          <w:rFonts w:cstheme="minorHAnsi"/>
          <w:color w:val="FF0000"/>
        </w:rPr>
        <w:t xml:space="preserve"> </w:t>
      </w:r>
      <w:r w:rsidRPr="00D555E1">
        <w:rPr>
          <w:rFonts w:cstheme="minorHAnsi"/>
        </w:rPr>
        <w:t>naj</w:t>
      </w:r>
      <w:r>
        <w:rPr>
          <w:rFonts w:cstheme="minorHAnsi"/>
        </w:rPr>
        <w:t>później w dniu złożenia wniosku,</w:t>
      </w:r>
    </w:p>
    <w:p w:rsidR="003555C3" w:rsidRPr="00827590" w:rsidRDefault="00D555E1" w:rsidP="00D555E1">
      <w:pPr>
        <w:pStyle w:val="Akapitzlist"/>
        <w:numPr>
          <w:ilvl w:val="0"/>
          <w:numId w:val="19"/>
        </w:numPr>
        <w:jc w:val="both"/>
        <w:rPr>
          <w:rFonts w:cstheme="minorHAnsi"/>
        </w:rPr>
      </w:pPr>
      <w:r w:rsidRPr="00D555E1">
        <w:rPr>
          <w:rFonts w:cstheme="minorHAnsi"/>
        </w:rPr>
        <w:t>Wykonawcy usług powinni posiadać odpowiedni kod Polskiej Klasyfikacji Działalności umożliwia</w:t>
      </w:r>
      <w:r>
        <w:rPr>
          <w:rFonts w:cstheme="minorHAnsi"/>
        </w:rPr>
        <w:t>jący sprzedaż usług badawczych.</w:t>
      </w:r>
    </w:p>
    <w:p w:rsidR="003555C3" w:rsidRPr="00827590" w:rsidRDefault="003555C3" w:rsidP="003555C3">
      <w:pPr>
        <w:tabs>
          <w:tab w:val="left" w:pos="3790"/>
        </w:tabs>
        <w:spacing w:after="0"/>
        <w:jc w:val="center"/>
        <w:rPr>
          <w:rFonts w:cstheme="minorHAnsi"/>
          <w:b/>
        </w:rPr>
      </w:pPr>
      <w:r w:rsidRPr="00827590">
        <w:rPr>
          <w:rFonts w:cstheme="minorHAnsi"/>
          <w:b/>
        </w:rPr>
        <w:t>§8</w:t>
      </w:r>
    </w:p>
    <w:p w:rsidR="003F7505" w:rsidRPr="00827590" w:rsidRDefault="003555C3" w:rsidP="003F7505">
      <w:pPr>
        <w:jc w:val="center"/>
        <w:rPr>
          <w:rFonts w:cstheme="minorHAnsi"/>
          <w:b/>
        </w:rPr>
      </w:pPr>
      <w:r w:rsidRPr="00827590">
        <w:rPr>
          <w:rFonts w:cstheme="minorHAnsi"/>
          <w:b/>
        </w:rPr>
        <w:t>Wartoś</w:t>
      </w:r>
      <w:r w:rsidR="003F7505" w:rsidRPr="00827590">
        <w:rPr>
          <w:rFonts w:cstheme="minorHAnsi"/>
          <w:b/>
        </w:rPr>
        <w:t xml:space="preserve">ć grantów oraz pomoc de </w:t>
      </w:r>
      <w:proofErr w:type="spellStart"/>
      <w:r w:rsidR="003F7505" w:rsidRPr="00827590">
        <w:rPr>
          <w:rFonts w:cstheme="minorHAnsi"/>
          <w:b/>
        </w:rPr>
        <w:t>minimis</w:t>
      </w:r>
      <w:proofErr w:type="spellEnd"/>
    </w:p>
    <w:p w:rsidR="006D4A48" w:rsidRPr="00827590" w:rsidRDefault="006D4A48" w:rsidP="00312B6E">
      <w:pPr>
        <w:pStyle w:val="Akapitzlist"/>
        <w:numPr>
          <w:ilvl w:val="0"/>
          <w:numId w:val="23"/>
        </w:numPr>
        <w:autoSpaceDE w:val="0"/>
        <w:autoSpaceDN w:val="0"/>
        <w:adjustRightInd w:val="0"/>
        <w:spacing w:after="0"/>
        <w:ind w:left="357" w:hanging="357"/>
        <w:jc w:val="both"/>
        <w:rPr>
          <w:rFonts w:cstheme="minorHAnsi"/>
          <w:color w:val="000000"/>
        </w:rPr>
      </w:pPr>
      <w:r w:rsidRPr="00827590">
        <w:rPr>
          <w:rFonts w:cstheme="minorHAnsi"/>
          <w:color w:val="000000"/>
        </w:rPr>
        <w:t>Całkowita pula środków przeznaczonych w ramach projektu na granty wynosi 8</w:t>
      </w:r>
      <w:r w:rsidR="00F65647">
        <w:rPr>
          <w:rFonts w:cstheme="minorHAnsi"/>
          <w:color w:val="000000"/>
        </w:rPr>
        <w:t xml:space="preserve"> 855 421,69 </w:t>
      </w:r>
      <w:r w:rsidRPr="00827590">
        <w:rPr>
          <w:rFonts w:cstheme="minorHAnsi"/>
          <w:color w:val="000000"/>
        </w:rPr>
        <w:t>zł, z czego 1</w:t>
      </w:r>
      <w:r w:rsidR="00F65647">
        <w:rPr>
          <w:rFonts w:cstheme="minorHAnsi"/>
          <w:color w:val="000000"/>
        </w:rPr>
        <w:t xml:space="preserve"> 505 421,69 </w:t>
      </w:r>
      <w:r w:rsidRPr="00827590">
        <w:rPr>
          <w:rFonts w:cstheme="minorHAnsi"/>
          <w:color w:val="000000"/>
        </w:rPr>
        <w:t>zł stanowią środki własne przedsiębiorców wnoszone do projektu jako wkład własny.</w:t>
      </w:r>
    </w:p>
    <w:p w:rsidR="003F7505" w:rsidRPr="00827590" w:rsidRDefault="003F7505" w:rsidP="00312B6E">
      <w:pPr>
        <w:pStyle w:val="Akapitzlist"/>
        <w:numPr>
          <w:ilvl w:val="0"/>
          <w:numId w:val="23"/>
        </w:numPr>
        <w:autoSpaceDE w:val="0"/>
        <w:autoSpaceDN w:val="0"/>
        <w:adjustRightInd w:val="0"/>
        <w:spacing w:after="0"/>
        <w:ind w:left="357" w:hanging="357"/>
        <w:jc w:val="both"/>
        <w:rPr>
          <w:rFonts w:cstheme="minorHAnsi"/>
          <w:color w:val="000000"/>
        </w:rPr>
      </w:pPr>
      <w:r w:rsidRPr="00827590">
        <w:rPr>
          <w:rFonts w:cstheme="minorHAnsi"/>
          <w:color w:val="000000"/>
        </w:rPr>
        <w:t xml:space="preserve">Wysokość dofinansowania pojedynczej Usługi w ramach udzielonego Grantu może wynosić maksymalnie </w:t>
      </w:r>
      <w:r w:rsidRPr="00827590">
        <w:rPr>
          <w:rFonts w:cstheme="minorHAnsi"/>
          <w:bCs/>
          <w:color w:val="000000"/>
        </w:rPr>
        <w:t>150 000,00 zł</w:t>
      </w:r>
      <w:r w:rsidRPr="00827590">
        <w:rPr>
          <w:rFonts w:cstheme="minorHAnsi"/>
          <w:color w:val="000000"/>
        </w:rPr>
        <w:t xml:space="preserve">, co stanowi </w:t>
      </w:r>
      <w:r w:rsidR="00F65647">
        <w:rPr>
          <w:rFonts w:cstheme="minorHAnsi"/>
          <w:color w:val="000000"/>
        </w:rPr>
        <w:t xml:space="preserve">max. </w:t>
      </w:r>
      <w:r w:rsidRPr="00827590">
        <w:rPr>
          <w:rFonts w:cstheme="minorHAnsi"/>
          <w:bCs/>
          <w:color w:val="000000"/>
        </w:rPr>
        <w:t>85% wartości netto Usługi</w:t>
      </w:r>
      <w:r w:rsidRPr="00827590">
        <w:rPr>
          <w:rFonts w:cstheme="minorHAnsi"/>
          <w:color w:val="000000"/>
        </w:rPr>
        <w:t xml:space="preserve">. </w:t>
      </w:r>
    </w:p>
    <w:p w:rsidR="003F7505" w:rsidRPr="00827590" w:rsidRDefault="003F7505" w:rsidP="00312B6E">
      <w:pPr>
        <w:pStyle w:val="Akapitzlist"/>
        <w:numPr>
          <w:ilvl w:val="0"/>
          <w:numId w:val="23"/>
        </w:numPr>
        <w:autoSpaceDE w:val="0"/>
        <w:autoSpaceDN w:val="0"/>
        <w:adjustRightInd w:val="0"/>
        <w:spacing w:after="0"/>
        <w:ind w:left="357" w:hanging="357"/>
        <w:jc w:val="both"/>
        <w:rPr>
          <w:rFonts w:cstheme="minorHAnsi"/>
          <w:color w:val="000000"/>
        </w:rPr>
      </w:pPr>
      <w:r w:rsidRPr="00827590">
        <w:rPr>
          <w:rFonts w:cstheme="minorHAnsi"/>
          <w:color w:val="000000"/>
        </w:rPr>
        <w:t>Na wartość całkowitą Usługi składać się będzie:</w:t>
      </w:r>
    </w:p>
    <w:p w:rsidR="003F7505" w:rsidRPr="00827590" w:rsidRDefault="003F7505" w:rsidP="00312B6E">
      <w:pPr>
        <w:pStyle w:val="Akapitzlist"/>
        <w:numPr>
          <w:ilvl w:val="0"/>
          <w:numId w:val="24"/>
        </w:numPr>
        <w:autoSpaceDE w:val="0"/>
        <w:autoSpaceDN w:val="0"/>
        <w:adjustRightInd w:val="0"/>
        <w:spacing w:after="0"/>
        <w:jc w:val="both"/>
        <w:rPr>
          <w:rFonts w:cstheme="minorHAnsi"/>
          <w:color w:val="000000"/>
        </w:rPr>
      </w:pPr>
      <w:r w:rsidRPr="00827590">
        <w:rPr>
          <w:rFonts w:cstheme="minorHAnsi"/>
          <w:color w:val="000000"/>
        </w:rPr>
        <w:t xml:space="preserve">wkład </w:t>
      </w:r>
      <w:proofErr w:type="spellStart"/>
      <w:r w:rsidRPr="00827590">
        <w:rPr>
          <w:rFonts w:cstheme="minorHAnsi"/>
          <w:color w:val="000000"/>
        </w:rPr>
        <w:t>Grantodawcy</w:t>
      </w:r>
      <w:proofErr w:type="spellEnd"/>
      <w:r w:rsidRPr="00827590">
        <w:rPr>
          <w:rFonts w:cstheme="minorHAnsi"/>
          <w:color w:val="000000"/>
        </w:rPr>
        <w:t>, stanowiący wartość dofinansowania w postaci Grantu w wysokości 85% wartości netto Usługi, który stanowią środki EFRR,</w:t>
      </w:r>
    </w:p>
    <w:p w:rsidR="003F7505" w:rsidRPr="00827590" w:rsidRDefault="003F7505" w:rsidP="00312B6E">
      <w:pPr>
        <w:pStyle w:val="Akapitzlist"/>
        <w:numPr>
          <w:ilvl w:val="0"/>
          <w:numId w:val="24"/>
        </w:numPr>
        <w:autoSpaceDE w:val="0"/>
        <w:autoSpaceDN w:val="0"/>
        <w:adjustRightInd w:val="0"/>
        <w:spacing w:after="0"/>
        <w:jc w:val="both"/>
        <w:rPr>
          <w:rFonts w:cstheme="minorHAnsi"/>
          <w:color w:val="000000"/>
        </w:rPr>
      </w:pPr>
      <w:r w:rsidRPr="00827590">
        <w:rPr>
          <w:rFonts w:cstheme="minorHAnsi"/>
          <w:color w:val="000000"/>
        </w:rPr>
        <w:t>wkład przedsiębiorcy stanowiący jego środki własne w wysokości minimalnej 15% wartości netto Usługi (</w:t>
      </w:r>
      <w:r w:rsidR="00F65647">
        <w:rPr>
          <w:rFonts w:cstheme="minorHAnsi"/>
          <w:color w:val="000000"/>
        </w:rPr>
        <w:t>26 470,59</w:t>
      </w:r>
      <w:r w:rsidRPr="00827590">
        <w:rPr>
          <w:rFonts w:cstheme="minorHAnsi"/>
          <w:color w:val="000000"/>
        </w:rPr>
        <w:t xml:space="preserve"> zł wkładu przedsiębiorcy przy dofinansowaniu usługi w maksymalnej wysokości 150 000,00 zł),</w:t>
      </w:r>
    </w:p>
    <w:p w:rsidR="003F7505" w:rsidRPr="00827590" w:rsidRDefault="003F7505" w:rsidP="00312B6E">
      <w:pPr>
        <w:pStyle w:val="Akapitzlist"/>
        <w:numPr>
          <w:ilvl w:val="0"/>
          <w:numId w:val="24"/>
        </w:numPr>
        <w:autoSpaceDE w:val="0"/>
        <w:autoSpaceDN w:val="0"/>
        <w:adjustRightInd w:val="0"/>
        <w:spacing w:after="0"/>
        <w:jc w:val="both"/>
        <w:rPr>
          <w:rFonts w:cstheme="minorHAnsi"/>
          <w:color w:val="000000"/>
        </w:rPr>
      </w:pPr>
      <w:r w:rsidRPr="00827590">
        <w:rPr>
          <w:rFonts w:cstheme="minorHAnsi"/>
          <w:color w:val="000000"/>
        </w:rPr>
        <w:t>podatek VAT.</w:t>
      </w:r>
    </w:p>
    <w:p w:rsidR="002C4B8D" w:rsidRPr="002C4B8D" w:rsidRDefault="002C4B8D" w:rsidP="002C4B8D">
      <w:pPr>
        <w:pStyle w:val="Akapitzlist"/>
        <w:numPr>
          <w:ilvl w:val="0"/>
          <w:numId w:val="23"/>
        </w:numPr>
        <w:ind w:left="357" w:hanging="357"/>
        <w:jc w:val="both"/>
        <w:rPr>
          <w:rFonts w:cstheme="minorHAnsi"/>
          <w:color w:val="000000"/>
        </w:rPr>
      </w:pPr>
      <w:r w:rsidRPr="002C4B8D">
        <w:rPr>
          <w:rFonts w:cstheme="minorHAnsi"/>
          <w:color w:val="000000"/>
        </w:rPr>
        <w:t xml:space="preserve">Wsparcie w postaci Grantu udzielane w ramach projektu „Bon na badania” stanowi pomoc de </w:t>
      </w:r>
      <w:proofErr w:type="spellStart"/>
      <w:r w:rsidRPr="002C4B8D">
        <w:rPr>
          <w:rFonts w:cstheme="minorHAnsi"/>
          <w:color w:val="000000"/>
        </w:rPr>
        <w:t>minimis</w:t>
      </w:r>
      <w:proofErr w:type="spellEnd"/>
      <w:r w:rsidRPr="002C4B8D">
        <w:rPr>
          <w:rFonts w:cstheme="minorHAnsi"/>
          <w:color w:val="000000"/>
        </w:rPr>
        <w:t xml:space="preserve"> i jest udzielane zgodnie z przepisami Rozporządzenia Komisji (UE) nr 2023/2831 z dnia 13 grudnia 2023 r. w sprawie stosowania art. 107 i 108 Traktatu o funkcjonowaniu Unii Europejskiej do pomocy de </w:t>
      </w:r>
      <w:proofErr w:type="spellStart"/>
      <w:r w:rsidRPr="002C4B8D">
        <w:rPr>
          <w:rFonts w:cstheme="minorHAnsi"/>
          <w:color w:val="000000"/>
        </w:rPr>
        <w:t>minimis</w:t>
      </w:r>
      <w:proofErr w:type="spellEnd"/>
      <w:r w:rsidRPr="002C4B8D">
        <w:rPr>
          <w:rFonts w:cstheme="minorHAnsi"/>
          <w:color w:val="000000"/>
        </w:rPr>
        <w:t xml:space="preserve"> oraz Rozporządzenia Ministra Funduszy i Polityki Regionalnej z dnia 17 kwietnia 2024 r. w sprawie udzielania pomocy de </w:t>
      </w:r>
      <w:proofErr w:type="spellStart"/>
      <w:r w:rsidRPr="002C4B8D">
        <w:rPr>
          <w:rFonts w:cstheme="minorHAnsi"/>
          <w:color w:val="000000"/>
        </w:rPr>
        <w:t>minimis</w:t>
      </w:r>
      <w:proofErr w:type="spellEnd"/>
      <w:r w:rsidRPr="002C4B8D">
        <w:rPr>
          <w:rFonts w:cstheme="minorHAnsi"/>
          <w:color w:val="000000"/>
        </w:rPr>
        <w:t xml:space="preserve"> w ramach regionalnych programów na lata 2021-2027.</w:t>
      </w:r>
    </w:p>
    <w:p w:rsidR="001917FB" w:rsidRPr="001917FB" w:rsidRDefault="001917FB" w:rsidP="001917FB">
      <w:pPr>
        <w:pStyle w:val="Akapitzlist"/>
        <w:numPr>
          <w:ilvl w:val="0"/>
          <w:numId w:val="23"/>
        </w:numPr>
        <w:ind w:left="357" w:hanging="357"/>
        <w:jc w:val="both"/>
        <w:rPr>
          <w:rFonts w:cstheme="minorHAnsi"/>
        </w:rPr>
      </w:pPr>
      <w:r w:rsidRPr="001917FB">
        <w:rPr>
          <w:rFonts w:cstheme="minorHAnsi"/>
        </w:rPr>
        <w:t xml:space="preserve">Pułap pomocy de </w:t>
      </w:r>
      <w:proofErr w:type="spellStart"/>
      <w:r w:rsidRPr="001917FB">
        <w:rPr>
          <w:rFonts w:cstheme="minorHAnsi"/>
        </w:rPr>
        <w:t>minimis</w:t>
      </w:r>
      <w:proofErr w:type="spellEnd"/>
      <w:r w:rsidRPr="001917FB">
        <w:rPr>
          <w:rFonts w:cstheme="minorHAnsi"/>
        </w:rPr>
        <w:t>, którą jedno przedsiębiorstwo może otrzymać przez okres trzech lat od jednego państwa członkowskiego, może wynieść maksymalnie 300 000 EUR. Przedsiębiorstwu prowadzącemu działalność zarobkową w zakresie drogowego transportu towarów nie może przekroczyć 300 000 EUR.</w:t>
      </w:r>
    </w:p>
    <w:p w:rsidR="00583B49" w:rsidRPr="00827590" w:rsidRDefault="00435659" w:rsidP="00312B6E">
      <w:pPr>
        <w:pStyle w:val="Akapitzlist"/>
        <w:numPr>
          <w:ilvl w:val="0"/>
          <w:numId w:val="23"/>
        </w:numPr>
        <w:autoSpaceDE w:val="0"/>
        <w:autoSpaceDN w:val="0"/>
        <w:adjustRightInd w:val="0"/>
        <w:spacing w:after="0"/>
        <w:ind w:left="357" w:hanging="357"/>
        <w:jc w:val="both"/>
        <w:rPr>
          <w:rFonts w:cstheme="minorHAnsi"/>
        </w:rPr>
      </w:pPr>
      <w:r w:rsidRPr="00827590">
        <w:rPr>
          <w:rFonts w:cstheme="minorHAnsi"/>
        </w:rPr>
        <w:lastRenderedPageBreak/>
        <w:t xml:space="preserve">W </w:t>
      </w:r>
      <w:r w:rsidR="008432AA" w:rsidRPr="00827590">
        <w:rPr>
          <w:rFonts w:cstheme="minorHAnsi"/>
        </w:rPr>
        <w:t>dniu</w:t>
      </w:r>
      <w:r w:rsidRPr="00827590">
        <w:rPr>
          <w:rFonts w:cstheme="minorHAnsi"/>
        </w:rPr>
        <w:t xml:space="preserve"> podpisania Umowy, </w:t>
      </w:r>
      <w:proofErr w:type="spellStart"/>
      <w:r w:rsidRPr="00827590">
        <w:rPr>
          <w:rFonts w:cstheme="minorHAnsi"/>
        </w:rPr>
        <w:t>Grantobiorca</w:t>
      </w:r>
      <w:proofErr w:type="spellEnd"/>
      <w:r w:rsidRPr="00827590">
        <w:rPr>
          <w:rFonts w:cstheme="minorHAnsi"/>
        </w:rPr>
        <w:t xml:space="preserve"> otrzyma od </w:t>
      </w:r>
      <w:proofErr w:type="spellStart"/>
      <w:r w:rsidRPr="00827590">
        <w:rPr>
          <w:rFonts w:cstheme="minorHAnsi"/>
        </w:rPr>
        <w:t>Grantodawcy</w:t>
      </w:r>
      <w:proofErr w:type="spellEnd"/>
      <w:r w:rsidRPr="00827590">
        <w:rPr>
          <w:rFonts w:cstheme="minorHAnsi"/>
        </w:rPr>
        <w:t xml:space="preserve"> stosowne zaświadczenie o udzielonej pomocy de </w:t>
      </w:r>
      <w:proofErr w:type="spellStart"/>
      <w:r w:rsidRPr="00827590">
        <w:rPr>
          <w:rFonts w:cstheme="minorHAnsi"/>
        </w:rPr>
        <w:t>minimis</w:t>
      </w:r>
      <w:proofErr w:type="spellEnd"/>
      <w:r w:rsidRPr="00827590">
        <w:rPr>
          <w:rFonts w:cstheme="minorHAnsi"/>
        </w:rPr>
        <w:t>.</w:t>
      </w:r>
    </w:p>
    <w:p w:rsidR="00583B49" w:rsidRPr="00827590" w:rsidRDefault="00583B49" w:rsidP="00583B49">
      <w:pPr>
        <w:pStyle w:val="Akapitzlist"/>
        <w:autoSpaceDE w:val="0"/>
        <w:autoSpaceDN w:val="0"/>
        <w:adjustRightInd w:val="0"/>
        <w:spacing w:after="0"/>
        <w:jc w:val="both"/>
        <w:rPr>
          <w:rFonts w:cstheme="minorHAnsi"/>
        </w:rPr>
      </w:pPr>
    </w:p>
    <w:p w:rsidR="00583B49" w:rsidRPr="00827590" w:rsidRDefault="00583B49" w:rsidP="00583B49">
      <w:pPr>
        <w:tabs>
          <w:tab w:val="left" w:pos="3790"/>
        </w:tabs>
        <w:spacing w:after="0"/>
        <w:jc w:val="center"/>
        <w:rPr>
          <w:rFonts w:cstheme="minorHAnsi"/>
          <w:b/>
        </w:rPr>
      </w:pPr>
      <w:r w:rsidRPr="00827590">
        <w:rPr>
          <w:rFonts w:cstheme="minorHAnsi"/>
          <w:b/>
        </w:rPr>
        <w:t>§9</w:t>
      </w:r>
    </w:p>
    <w:p w:rsidR="00435659" w:rsidRPr="00827590" w:rsidRDefault="00583B49" w:rsidP="00583B49">
      <w:pPr>
        <w:jc w:val="center"/>
        <w:rPr>
          <w:rFonts w:cstheme="minorHAnsi"/>
          <w:b/>
        </w:rPr>
      </w:pPr>
      <w:r w:rsidRPr="00827590">
        <w:rPr>
          <w:rFonts w:cstheme="minorHAnsi"/>
          <w:b/>
        </w:rPr>
        <w:t>Zasady aplikowania o grant na badania</w:t>
      </w:r>
    </w:p>
    <w:p w:rsidR="006452AD" w:rsidRPr="00827590" w:rsidRDefault="006452AD" w:rsidP="00312B6E">
      <w:pPr>
        <w:pStyle w:val="Akapitzlist"/>
        <w:numPr>
          <w:ilvl w:val="0"/>
          <w:numId w:val="25"/>
        </w:numPr>
        <w:ind w:left="357" w:hanging="357"/>
        <w:jc w:val="both"/>
        <w:rPr>
          <w:rFonts w:cstheme="minorHAnsi"/>
        </w:rPr>
      </w:pPr>
      <w:r w:rsidRPr="00827590">
        <w:rPr>
          <w:rFonts w:cstheme="minorHAnsi"/>
        </w:rPr>
        <w:t>Przedsiębiorca zainteresowany aplikowaniem o uzys</w:t>
      </w:r>
      <w:r w:rsidR="00B91A0F" w:rsidRPr="00827590">
        <w:rPr>
          <w:rFonts w:cstheme="minorHAnsi"/>
        </w:rPr>
        <w:t xml:space="preserve">kanie Grantu w ramach Projektu, </w:t>
      </w:r>
      <w:r w:rsidRPr="00827590">
        <w:rPr>
          <w:rFonts w:cstheme="minorHAnsi"/>
        </w:rPr>
        <w:t xml:space="preserve">wypełnia oraz składa </w:t>
      </w:r>
      <w:r w:rsidR="00B91A0F" w:rsidRPr="00827590">
        <w:rPr>
          <w:rFonts w:cstheme="minorHAnsi"/>
        </w:rPr>
        <w:t>Wniosek o powierzenie grantu</w:t>
      </w:r>
      <w:r w:rsidR="00E3433B" w:rsidRPr="00827590">
        <w:rPr>
          <w:rFonts w:cstheme="minorHAnsi"/>
        </w:rPr>
        <w:t xml:space="preserve"> </w:t>
      </w:r>
      <w:r w:rsidR="00E3433B" w:rsidRPr="00827590">
        <w:rPr>
          <w:rFonts w:cstheme="minorHAnsi"/>
          <w:i/>
        </w:rPr>
        <w:t>(Załącznik nr 1 do Regulaminu)</w:t>
      </w:r>
      <w:r w:rsidR="00CD71DE" w:rsidRPr="00827590">
        <w:rPr>
          <w:rFonts w:cstheme="minorHAnsi"/>
        </w:rPr>
        <w:t xml:space="preserve"> wraz z wymaganymi załącznikami</w:t>
      </w:r>
      <w:r w:rsidRPr="00827590">
        <w:rPr>
          <w:rFonts w:cstheme="minorHAnsi"/>
        </w:rPr>
        <w:t xml:space="preserve"> dostępny na witrynie internetowej</w:t>
      </w:r>
      <w:r w:rsidR="00B91A0F" w:rsidRPr="00827590">
        <w:rPr>
          <w:rFonts w:cstheme="minorHAnsi"/>
        </w:rPr>
        <w:t xml:space="preserve"> </w:t>
      </w:r>
      <w:proofErr w:type="spellStart"/>
      <w:r w:rsidR="00B91A0F" w:rsidRPr="00827590">
        <w:rPr>
          <w:rFonts w:cstheme="minorHAnsi"/>
        </w:rPr>
        <w:t>Grantodawcy</w:t>
      </w:r>
      <w:proofErr w:type="spellEnd"/>
      <w:r w:rsidRPr="00827590">
        <w:rPr>
          <w:rFonts w:cstheme="minorHAnsi"/>
        </w:rPr>
        <w:t xml:space="preserve">. </w:t>
      </w:r>
      <w:r w:rsidR="00B91A0F" w:rsidRPr="00827590">
        <w:rPr>
          <w:rFonts w:cstheme="minorHAnsi"/>
        </w:rPr>
        <w:t>Wniosek</w:t>
      </w:r>
      <w:r w:rsidRPr="00827590">
        <w:rPr>
          <w:rFonts w:cstheme="minorHAnsi"/>
        </w:rPr>
        <w:t xml:space="preserve"> zawiera podstawowe informacje o Przedsiębiorstwie oraz o oczekiwanym zakresie wsparcia oferowanego w ramach Projektu.</w:t>
      </w:r>
    </w:p>
    <w:p w:rsidR="00CD71DE" w:rsidRPr="00827590" w:rsidRDefault="00CD71DE" w:rsidP="00312B6E">
      <w:pPr>
        <w:pStyle w:val="Akapitzlist"/>
        <w:numPr>
          <w:ilvl w:val="0"/>
          <w:numId w:val="25"/>
        </w:numPr>
        <w:ind w:left="357" w:hanging="357"/>
        <w:jc w:val="both"/>
        <w:rPr>
          <w:rFonts w:cstheme="minorHAnsi"/>
        </w:rPr>
      </w:pPr>
      <w:r w:rsidRPr="00827590">
        <w:rPr>
          <w:rFonts w:cstheme="minorHAnsi"/>
        </w:rPr>
        <w:t xml:space="preserve">Wnioski o powierzenie grantu należy składać w biurze projektu w Centrum Edukacyjno-Szkoleniowym Agencji Rozwoju Regionalnego „ARES” S.A. w Suwałkach, 16-400 Suwałki, ul. Osiedle II 6A, w godzinach </w:t>
      </w:r>
      <w:r w:rsidR="00841FFC">
        <w:rPr>
          <w:rFonts w:cstheme="minorHAnsi"/>
        </w:rPr>
        <w:t>8-16</w:t>
      </w:r>
      <w:r w:rsidRPr="00827590">
        <w:rPr>
          <w:rFonts w:cstheme="minorHAnsi"/>
        </w:rPr>
        <w:t xml:space="preserve"> od poniedziałku do piątku, za wyjątkiem dni ustawowo wolnych od pracy.</w:t>
      </w:r>
    </w:p>
    <w:p w:rsidR="00B70ACF" w:rsidRPr="00B70ACF" w:rsidRDefault="00B70ACF" w:rsidP="00B70ACF">
      <w:pPr>
        <w:pStyle w:val="Akapitzlist"/>
        <w:numPr>
          <w:ilvl w:val="0"/>
          <w:numId w:val="25"/>
        </w:numPr>
        <w:ind w:left="357" w:hanging="357"/>
        <w:jc w:val="both"/>
        <w:rPr>
          <w:rFonts w:cstheme="minorHAnsi"/>
        </w:rPr>
      </w:pPr>
      <w:r w:rsidRPr="00B70ACF">
        <w:rPr>
          <w:rFonts w:cstheme="minorHAnsi"/>
        </w:rPr>
        <w:t xml:space="preserve">Wniosek wypełniony komputerowo wraz z wymaganymi załącznikami powinien zostać podpisany przez osoby uprawnione do reprezentowania Przedsiębiorstwa. Przy wszystkich podpisach należy zamieścić datę, pieczęć imienną oraz pieczęć firmową w przypadku podpisu nieczytelnego. Wniosek w formie papierowej wraz z załącznikami powinien być trwale spięty oraz złożony (osobiście/za pośrednictwem Poczty Polskiej/kuriera) w zamkniętej kopercie w siedzibie </w:t>
      </w:r>
      <w:proofErr w:type="spellStart"/>
      <w:r w:rsidRPr="00B70ACF">
        <w:rPr>
          <w:rFonts w:cstheme="minorHAnsi"/>
        </w:rPr>
        <w:t>Grantodawcy</w:t>
      </w:r>
      <w:proofErr w:type="spellEnd"/>
      <w:r w:rsidRPr="00B70ACF">
        <w:rPr>
          <w:rFonts w:cstheme="minorHAnsi"/>
        </w:rPr>
        <w:t>.  W przypadku wniosków nadesłanych pocztą lub przesyłką kurierską o przyjęciu wniosku decyduje data i godzina wpływu wniosku do siedziby Beneficjenta – potwierdzona osobiście przez pracownika biura.</w:t>
      </w:r>
      <w:r w:rsidR="0050496F">
        <w:rPr>
          <w:rFonts w:cstheme="minorHAnsi"/>
        </w:rPr>
        <w:t xml:space="preserve"> Przesyłki dostarczone za pośrednictwem Poczty Polskiej/kuriera zostaną zarejestrowane jako kolejne na liście po wnioskach złożonych osobiście.</w:t>
      </w:r>
    </w:p>
    <w:p w:rsidR="00C01041" w:rsidRPr="00827590" w:rsidRDefault="00C01041" w:rsidP="00312B6E">
      <w:pPr>
        <w:pStyle w:val="Akapitzlist"/>
        <w:numPr>
          <w:ilvl w:val="0"/>
          <w:numId w:val="25"/>
        </w:numPr>
        <w:ind w:left="357" w:hanging="357"/>
        <w:jc w:val="both"/>
        <w:rPr>
          <w:rFonts w:cstheme="minorHAnsi"/>
        </w:rPr>
      </w:pPr>
      <w:r w:rsidRPr="00827590">
        <w:rPr>
          <w:rFonts w:cstheme="minorHAnsi"/>
        </w:rPr>
        <w:t>Wnioski, które wpłyną po terminie nie będą rozpatrywane.</w:t>
      </w:r>
    </w:p>
    <w:p w:rsidR="00553FCD" w:rsidRPr="00827590" w:rsidRDefault="00553FCD" w:rsidP="00312B6E">
      <w:pPr>
        <w:pStyle w:val="Akapitzlist"/>
        <w:numPr>
          <w:ilvl w:val="0"/>
          <w:numId w:val="25"/>
        </w:numPr>
        <w:ind w:left="357" w:hanging="357"/>
        <w:jc w:val="both"/>
        <w:rPr>
          <w:rFonts w:cstheme="minorHAnsi"/>
        </w:rPr>
      </w:pPr>
      <w:r w:rsidRPr="00827590">
        <w:rPr>
          <w:rFonts w:cstheme="minorHAnsi"/>
        </w:rPr>
        <w:t>Wniosek powinien być wypełniony w języku polskim i być kompletny. Wszystkie wymagane pola wniosku muszą być wypełnione.</w:t>
      </w:r>
    </w:p>
    <w:p w:rsidR="00553FCD" w:rsidRPr="00827590" w:rsidRDefault="00553FCD" w:rsidP="00312B6E">
      <w:pPr>
        <w:pStyle w:val="Akapitzlist"/>
        <w:numPr>
          <w:ilvl w:val="0"/>
          <w:numId w:val="25"/>
        </w:numPr>
        <w:ind w:left="357" w:hanging="357"/>
        <w:jc w:val="both"/>
        <w:rPr>
          <w:rFonts w:cstheme="minorHAnsi"/>
        </w:rPr>
      </w:pPr>
      <w:r w:rsidRPr="00827590">
        <w:rPr>
          <w:rFonts w:cstheme="minorHAnsi"/>
        </w:rPr>
        <w:t xml:space="preserve">Każda strona wniosku powinna być zaparafowana, a wniosek podpisany przez </w:t>
      </w:r>
      <w:r w:rsidR="00DF7F42" w:rsidRPr="00827590">
        <w:rPr>
          <w:rFonts w:cstheme="minorHAnsi"/>
        </w:rPr>
        <w:t>Przedsiębiorcę</w:t>
      </w:r>
      <w:r w:rsidRPr="00827590">
        <w:rPr>
          <w:rFonts w:cstheme="minorHAnsi"/>
        </w:rPr>
        <w:t xml:space="preserve"> lub osobę uprawnioną do reprezentacji </w:t>
      </w:r>
      <w:r w:rsidR="00DF7F42" w:rsidRPr="00827590">
        <w:rPr>
          <w:rFonts w:cstheme="minorHAnsi"/>
        </w:rPr>
        <w:t>Przedsiębiorcy</w:t>
      </w:r>
      <w:r w:rsidRPr="00827590">
        <w:rPr>
          <w:rFonts w:cstheme="minorHAnsi"/>
        </w:rPr>
        <w:t xml:space="preserve"> zgodnie z obowiązującymi przepisami prawa.</w:t>
      </w:r>
    </w:p>
    <w:p w:rsidR="00553FCD" w:rsidRPr="00827590" w:rsidRDefault="00553FCD" w:rsidP="00312B6E">
      <w:pPr>
        <w:pStyle w:val="Akapitzlist"/>
        <w:numPr>
          <w:ilvl w:val="0"/>
          <w:numId w:val="25"/>
        </w:numPr>
        <w:ind w:left="357" w:hanging="357"/>
        <w:jc w:val="both"/>
        <w:rPr>
          <w:rFonts w:cstheme="minorHAnsi"/>
        </w:rPr>
      </w:pPr>
      <w:r w:rsidRPr="00827590">
        <w:rPr>
          <w:rFonts w:cstheme="minorHAnsi"/>
        </w:rPr>
        <w:t xml:space="preserve">Załączniki do wniosku składane w formie kopii powinny zostać na każdej stronie potwierdzone „za zgodność z oryginałem” przez </w:t>
      </w:r>
      <w:r w:rsidR="00DF7F42" w:rsidRPr="00827590">
        <w:rPr>
          <w:rFonts w:cstheme="minorHAnsi"/>
        </w:rPr>
        <w:t>Przedsiębiorcę</w:t>
      </w:r>
      <w:r w:rsidRPr="00827590">
        <w:rPr>
          <w:rFonts w:cstheme="minorHAnsi"/>
        </w:rPr>
        <w:t xml:space="preserve"> lub osobę upoważnioną do jego reprezentacji.</w:t>
      </w:r>
    </w:p>
    <w:p w:rsidR="0095699C" w:rsidRDefault="0095699C" w:rsidP="00312B6E">
      <w:pPr>
        <w:pStyle w:val="Akapitzlist"/>
        <w:numPr>
          <w:ilvl w:val="0"/>
          <w:numId w:val="25"/>
        </w:numPr>
        <w:ind w:left="357" w:hanging="357"/>
        <w:jc w:val="both"/>
        <w:rPr>
          <w:rFonts w:cstheme="minorHAnsi"/>
        </w:rPr>
      </w:pPr>
      <w:r w:rsidRPr="00827590">
        <w:rPr>
          <w:rFonts w:cstheme="minorHAnsi"/>
        </w:rPr>
        <w:t xml:space="preserve">Ogłoszenie o naborze wniosków o powierzenie grantów pojawi się na stronie internetowej </w:t>
      </w:r>
      <w:proofErr w:type="spellStart"/>
      <w:r w:rsidRPr="00827590">
        <w:rPr>
          <w:rFonts w:cstheme="minorHAnsi"/>
        </w:rPr>
        <w:t>Grantodawcy</w:t>
      </w:r>
      <w:proofErr w:type="spellEnd"/>
      <w:r w:rsidRPr="00827590">
        <w:rPr>
          <w:rFonts w:cstheme="minorHAnsi"/>
        </w:rPr>
        <w:t xml:space="preserve"> na minimum 30 dni kalendarzowych przed rozpoczęciem naboru. </w:t>
      </w:r>
    </w:p>
    <w:p w:rsidR="009359DF" w:rsidRDefault="009359DF" w:rsidP="00312B6E">
      <w:pPr>
        <w:pStyle w:val="Akapitzlist"/>
        <w:numPr>
          <w:ilvl w:val="0"/>
          <w:numId w:val="25"/>
        </w:numPr>
        <w:ind w:left="357" w:hanging="357"/>
        <w:jc w:val="both"/>
        <w:rPr>
          <w:rFonts w:cstheme="minorHAnsi"/>
        </w:rPr>
      </w:pPr>
      <w:proofErr w:type="spellStart"/>
      <w:r w:rsidRPr="00372B10">
        <w:rPr>
          <w:rFonts w:cstheme="minorHAnsi"/>
        </w:rPr>
        <w:t>Granto</w:t>
      </w:r>
      <w:r>
        <w:rPr>
          <w:rFonts w:cstheme="minorHAnsi"/>
        </w:rPr>
        <w:t>dawca</w:t>
      </w:r>
      <w:proofErr w:type="spellEnd"/>
      <w:r w:rsidRPr="00372B10">
        <w:rPr>
          <w:rFonts w:cstheme="minorHAnsi"/>
        </w:rPr>
        <w:t xml:space="preserve"> przeprowadzi jeden nabór wniosków do limitu 150% alokacji (dostępnych środków). W ramach naboru powstanie lista podstawowa (do wyczerpania środków posiadanych przez Beneficjenta przeznaczonych na „bony na badania”) oraz lista rezerwowa, na której znajdą </w:t>
      </w:r>
      <w:r>
        <w:rPr>
          <w:rFonts w:cstheme="minorHAnsi"/>
        </w:rPr>
        <w:t>się Przedsiębiorcy</w:t>
      </w:r>
      <w:r w:rsidRPr="00372B10">
        <w:rPr>
          <w:rFonts w:cstheme="minorHAnsi"/>
        </w:rPr>
        <w:t xml:space="preserve">, których wnioski zostały ocenione pozytywnie, spełniły warunki, ale nie otrzymały dofinansowania z powodu wyczerpania dostępnych środków. W przypadku rezygnacji potencjalnych </w:t>
      </w:r>
      <w:proofErr w:type="spellStart"/>
      <w:r w:rsidRPr="00372B10">
        <w:rPr>
          <w:rFonts w:cstheme="minorHAnsi"/>
        </w:rPr>
        <w:t>grantobiorców</w:t>
      </w:r>
      <w:proofErr w:type="spellEnd"/>
      <w:r w:rsidRPr="00372B10">
        <w:rPr>
          <w:rFonts w:cstheme="minorHAnsi"/>
        </w:rPr>
        <w:t xml:space="preserve">, którzy zakwalifikowali się na listę podstawową do podpisania umowy będą zapraszani </w:t>
      </w:r>
      <w:proofErr w:type="spellStart"/>
      <w:r w:rsidRPr="00372B10">
        <w:rPr>
          <w:rFonts w:cstheme="minorHAnsi"/>
        </w:rPr>
        <w:t>grantobiorcy</w:t>
      </w:r>
      <w:proofErr w:type="spellEnd"/>
      <w:r w:rsidRPr="00372B10">
        <w:rPr>
          <w:rFonts w:cstheme="minorHAnsi"/>
        </w:rPr>
        <w:t xml:space="preserve"> zakwalifikowani na listę rezerwową. Umowy z listy rezerwowej będą mogły być podpisane z firmami, które zadeklarują zakończenie realizacji projektu przed 31.12.2025 r.</w:t>
      </w:r>
    </w:p>
    <w:p w:rsidR="009514A3" w:rsidRPr="00827590" w:rsidRDefault="009514A3" w:rsidP="00312B6E">
      <w:pPr>
        <w:pStyle w:val="Akapitzlist"/>
        <w:numPr>
          <w:ilvl w:val="0"/>
          <w:numId w:val="25"/>
        </w:numPr>
        <w:ind w:left="357" w:hanging="357"/>
        <w:jc w:val="both"/>
        <w:rPr>
          <w:rFonts w:cstheme="minorHAnsi"/>
        </w:rPr>
      </w:pPr>
      <w:r>
        <w:rPr>
          <w:rFonts w:cstheme="minorHAnsi"/>
        </w:rPr>
        <w:t xml:space="preserve">W przypadku pozostania środków lub zwiększenia wartości Projektu </w:t>
      </w:r>
      <w:proofErr w:type="spellStart"/>
      <w:r w:rsidR="0050496F">
        <w:rPr>
          <w:rFonts w:cstheme="minorHAnsi"/>
        </w:rPr>
        <w:t>Grantodawca</w:t>
      </w:r>
      <w:proofErr w:type="spellEnd"/>
      <w:r w:rsidR="0050496F">
        <w:rPr>
          <w:rFonts w:cstheme="minorHAnsi"/>
        </w:rPr>
        <w:t xml:space="preserve"> uruchomi kolejne nabory i określi wielkość alokacji. </w:t>
      </w:r>
    </w:p>
    <w:p w:rsidR="0095699C" w:rsidRDefault="0095699C" w:rsidP="00312B6E">
      <w:pPr>
        <w:pStyle w:val="Akapitzlist"/>
        <w:numPr>
          <w:ilvl w:val="0"/>
          <w:numId w:val="25"/>
        </w:numPr>
        <w:ind w:left="357" w:hanging="357"/>
        <w:jc w:val="both"/>
        <w:rPr>
          <w:rFonts w:cstheme="minorHAnsi"/>
        </w:rPr>
      </w:pPr>
      <w:r w:rsidRPr="00827590">
        <w:rPr>
          <w:rFonts w:cstheme="minorHAnsi"/>
        </w:rPr>
        <w:lastRenderedPageBreak/>
        <w:t>Stosownie do liczby napływających wniosków oraz tempa wykorzystania środków finansowych w danym naborze, nabór może zostać wstrzymany. Informacja o wstrzymaniu naboru w związku z wykorzystaniem puli środków na daną rundę zostanie opublikowana niezwłocznie na witrynie internetowej projektu.</w:t>
      </w:r>
      <w:r w:rsidR="00C01041" w:rsidRPr="00827590">
        <w:rPr>
          <w:rFonts w:cstheme="minorHAnsi"/>
        </w:rPr>
        <w:t xml:space="preserve"> </w:t>
      </w:r>
    </w:p>
    <w:p w:rsidR="00286D26" w:rsidRPr="00841FFC" w:rsidRDefault="00286D26" w:rsidP="00286D26">
      <w:pPr>
        <w:pStyle w:val="Akapitzlist"/>
        <w:numPr>
          <w:ilvl w:val="0"/>
          <w:numId w:val="25"/>
        </w:numPr>
        <w:ind w:left="357" w:hanging="357"/>
        <w:jc w:val="both"/>
        <w:rPr>
          <w:rFonts w:cstheme="minorHAnsi"/>
        </w:rPr>
      </w:pPr>
      <w:r w:rsidRPr="00841FFC">
        <w:rPr>
          <w:rFonts w:cstheme="minorHAnsi"/>
        </w:rPr>
        <w:t>Jedna osoba będzie miała możliwość złożenia maksymalnie dwóch wniosków o dofinansowanie.</w:t>
      </w:r>
    </w:p>
    <w:p w:rsidR="00BA0F6D" w:rsidRPr="00827590" w:rsidRDefault="00BA0F6D" w:rsidP="00BA0F6D">
      <w:pPr>
        <w:pStyle w:val="Akapitzlist"/>
        <w:jc w:val="both"/>
        <w:rPr>
          <w:rFonts w:cstheme="minorHAnsi"/>
        </w:rPr>
      </w:pPr>
    </w:p>
    <w:p w:rsidR="00F428AF" w:rsidRPr="00827590" w:rsidRDefault="00F428AF" w:rsidP="00F428AF">
      <w:pPr>
        <w:tabs>
          <w:tab w:val="left" w:pos="3790"/>
        </w:tabs>
        <w:spacing w:after="0"/>
        <w:jc w:val="center"/>
        <w:rPr>
          <w:rFonts w:cstheme="minorHAnsi"/>
          <w:b/>
        </w:rPr>
      </w:pPr>
      <w:r w:rsidRPr="00827590">
        <w:rPr>
          <w:rFonts w:cstheme="minorHAnsi"/>
          <w:b/>
        </w:rPr>
        <w:t>§10</w:t>
      </w:r>
    </w:p>
    <w:p w:rsidR="00F428AF" w:rsidRPr="00827590" w:rsidRDefault="00F428AF" w:rsidP="00F428AF">
      <w:pPr>
        <w:jc w:val="center"/>
        <w:rPr>
          <w:rFonts w:cstheme="minorHAnsi"/>
          <w:b/>
        </w:rPr>
      </w:pPr>
      <w:r w:rsidRPr="00827590">
        <w:rPr>
          <w:rFonts w:cstheme="minorHAnsi"/>
          <w:b/>
        </w:rPr>
        <w:t>Ocena wniosku o powierzenie grantu</w:t>
      </w:r>
    </w:p>
    <w:p w:rsidR="00F428AF" w:rsidRPr="00827590" w:rsidRDefault="00F428AF" w:rsidP="00312B6E">
      <w:pPr>
        <w:pStyle w:val="Akapitzlist"/>
        <w:numPr>
          <w:ilvl w:val="0"/>
          <w:numId w:val="26"/>
        </w:numPr>
        <w:ind w:left="357" w:hanging="357"/>
        <w:jc w:val="both"/>
        <w:rPr>
          <w:rFonts w:cstheme="minorHAnsi"/>
        </w:rPr>
      </w:pPr>
      <w:r w:rsidRPr="00827590">
        <w:rPr>
          <w:rFonts w:cstheme="minorHAnsi"/>
        </w:rPr>
        <w:t>Ocena wniosku o powierzenie grantu przeprowadzana jest przez dwóch pracowników Agencji Rozwoju Regionalnego „ARES” S.A. w Suwałkach. Oceniający są zobowiązani do zachowania bezstronności i poufności.</w:t>
      </w:r>
    </w:p>
    <w:p w:rsidR="00F428AF" w:rsidRPr="00827590" w:rsidRDefault="00F428AF" w:rsidP="00312B6E">
      <w:pPr>
        <w:pStyle w:val="Akapitzlist"/>
        <w:numPr>
          <w:ilvl w:val="0"/>
          <w:numId w:val="26"/>
        </w:numPr>
        <w:ind w:left="357" w:hanging="357"/>
        <w:jc w:val="both"/>
        <w:rPr>
          <w:rFonts w:cstheme="minorHAnsi"/>
        </w:rPr>
      </w:pPr>
      <w:r w:rsidRPr="00827590">
        <w:rPr>
          <w:rFonts w:cstheme="minorHAnsi"/>
        </w:rPr>
        <w:t>Ocena wniosku trwa maksymalnie 10 dni roboczych</w:t>
      </w:r>
      <w:r w:rsidR="001A1DEC">
        <w:rPr>
          <w:rFonts w:cstheme="minorHAnsi"/>
        </w:rPr>
        <w:t xml:space="preserve"> od momentu złożenia wniosku.</w:t>
      </w:r>
    </w:p>
    <w:p w:rsidR="00F428AF" w:rsidRPr="00827590" w:rsidRDefault="00F428AF" w:rsidP="00312B6E">
      <w:pPr>
        <w:pStyle w:val="Akapitzlist"/>
        <w:numPr>
          <w:ilvl w:val="0"/>
          <w:numId w:val="26"/>
        </w:numPr>
        <w:ind w:left="357" w:hanging="357"/>
        <w:jc w:val="both"/>
        <w:rPr>
          <w:rFonts w:cstheme="minorHAnsi"/>
        </w:rPr>
      </w:pPr>
      <w:r w:rsidRPr="00827590">
        <w:rPr>
          <w:rFonts w:cstheme="minorHAnsi"/>
        </w:rPr>
        <w:t xml:space="preserve">Termin oceny wniosku może ulec zawieszeniu w przypadku wystąpienia sytuacji niezależnych od </w:t>
      </w:r>
      <w:proofErr w:type="spellStart"/>
      <w:r w:rsidRPr="00827590">
        <w:rPr>
          <w:rFonts w:cstheme="minorHAnsi"/>
        </w:rPr>
        <w:t>Grantodawcy</w:t>
      </w:r>
      <w:proofErr w:type="spellEnd"/>
      <w:r w:rsidRPr="00827590">
        <w:rPr>
          <w:rFonts w:cstheme="minorHAnsi"/>
        </w:rPr>
        <w:t>. O takim fakcie Przedsiębiorca zostanie niezwłocznie poinformowany za pośrednictwem poczty e-mail i/lub telefonicznie.</w:t>
      </w:r>
    </w:p>
    <w:p w:rsidR="000071AA" w:rsidRPr="000071AA" w:rsidRDefault="000071AA" w:rsidP="000071AA">
      <w:pPr>
        <w:pStyle w:val="Akapitzlist"/>
        <w:numPr>
          <w:ilvl w:val="0"/>
          <w:numId w:val="26"/>
        </w:numPr>
        <w:ind w:left="357" w:hanging="357"/>
        <w:jc w:val="both"/>
        <w:rPr>
          <w:rFonts w:cstheme="minorHAnsi"/>
        </w:rPr>
      </w:pPr>
      <w:r w:rsidRPr="000071AA">
        <w:rPr>
          <w:rFonts w:cstheme="minorHAnsi"/>
        </w:rPr>
        <w:t>W przypadku, gdy wniosek zawiera błędy/omyłki, które mogą być poprawione lub oceniający mają wątpliwości, które należałoby wyjaśnić, Przedsiębiorca zostaje wezwany do uzupełnienia czy też wyjaśnień. Poprawa danego uchybienia może odbyć się jeden raz. Treść merytoryczna wniosku nie może ulec zmianie podczas poprawy wniosku, oprócz błędów/omyłek wskazanych w wezwaniu.</w:t>
      </w:r>
    </w:p>
    <w:p w:rsidR="00F428AF" w:rsidRPr="00827590" w:rsidRDefault="00F428AF" w:rsidP="00312B6E">
      <w:pPr>
        <w:pStyle w:val="Akapitzlist"/>
        <w:numPr>
          <w:ilvl w:val="0"/>
          <w:numId w:val="26"/>
        </w:numPr>
        <w:ind w:left="357" w:hanging="357"/>
        <w:jc w:val="both"/>
        <w:rPr>
          <w:rFonts w:cstheme="minorHAnsi"/>
        </w:rPr>
      </w:pPr>
      <w:proofErr w:type="spellStart"/>
      <w:r w:rsidRPr="00827590">
        <w:rPr>
          <w:rFonts w:cstheme="minorHAnsi"/>
        </w:rPr>
        <w:t>Grantodawca</w:t>
      </w:r>
      <w:proofErr w:type="spellEnd"/>
      <w:r w:rsidRPr="00827590">
        <w:rPr>
          <w:rFonts w:cstheme="minorHAnsi"/>
        </w:rPr>
        <w:t xml:space="preserve"> informuje Przedsiębiorcę o możliwości poprawy uchybień/złożenia wyjaśnień listem poleconym za zwrotnym potwierdzeniem odbioru oraz pocztą elektroniczną.</w:t>
      </w:r>
    </w:p>
    <w:p w:rsidR="000071AA" w:rsidRPr="000071AA" w:rsidRDefault="000071AA" w:rsidP="000071AA">
      <w:pPr>
        <w:pStyle w:val="Akapitzlist"/>
        <w:numPr>
          <w:ilvl w:val="0"/>
          <w:numId w:val="26"/>
        </w:numPr>
        <w:ind w:left="357" w:hanging="357"/>
        <w:jc w:val="both"/>
        <w:rPr>
          <w:rFonts w:cstheme="minorHAnsi"/>
        </w:rPr>
      </w:pPr>
      <w:r w:rsidRPr="000071AA">
        <w:rPr>
          <w:rFonts w:cstheme="minorHAnsi"/>
        </w:rPr>
        <w:t xml:space="preserve">Przedsiębiorca zobowiązany jest dostarczyć uzupełniony lub poprawiony wniosek oraz dodatkowe wyjaśnienia w nieprzekraczalnym terminie 7 dni kalendarzowych od dnia otrzymania wezwania, o którym mowa powyżej. O dochowaniu terminu decyduje data wpływu poprawionego wniosku do biura </w:t>
      </w:r>
      <w:proofErr w:type="spellStart"/>
      <w:r w:rsidRPr="000071AA">
        <w:rPr>
          <w:rFonts w:cstheme="minorHAnsi"/>
        </w:rPr>
        <w:t>Grantodawcy</w:t>
      </w:r>
      <w:proofErr w:type="spellEnd"/>
      <w:r w:rsidRPr="000071AA">
        <w:rPr>
          <w:rFonts w:cstheme="minorHAnsi"/>
        </w:rPr>
        <w:t xml:space="preserve"> – potwierdzona osobiście przez pracownika biura.</w:t>
      </w:r>
    </w:p>
    <w:p w:rsidR="00F428AF" w:rsidRPr="00827590" w:rsidRDefault="00F428AF" w:rsidP="00312B6E">
      <w:pPr>
        <w:pStyle w:val="Akapitzlist"/>
        <w:numPr>
          <w:ilvl w:val="0"/>
          <w:numId w:val="26"/>
        </w:numPr>
        <w:ind w:left="357" w:hanging="357"/>
        <w:jc w:val="both"/>
        <w:rPr>
          <w:rFonts w:cstheme="minorHAnsi"/>
        </w:rPr>
      </w:pPr>
      <w:r w:rsidRPr="00827590">
        <w:rPr>
          <w:rFonts w:cstheme="minorHAnsi"/>
        </w:rPr>
        <w:t>Wnioski, które nie zostaną uzupełnione lub poprawione we wskazanym zakresie i terminie zostaną ocenione negatywnie.</w:t>
      </w:r>
    </w:p>
    <w:p w:rsidR="005B2103" w:rsidRPr="00827590" w:rsidRDefault="001C78DA" w:rsidP="00312B6E">
      <w:pPr>
        <w:pStyle w:val="Akapitzlist"/>
        <w:numPr>
          <w:ilvl w:val="0"/>
          <w:numId w:val="26"/>
        </w:numPr>
        <w:ind w:left="357" w:hanging="357"/>
        <w:jc w:val="both"/>
        <w:rPr>
          <w:rFonts w:cstheme="minorHAnsi"/>
        </w:rPr>
      </w:pPr>
      <w:r w:rsidRPr="00827590">
        <w:rPr>
          <w:rFonts w:cstheme="minorHAnsi"/>
        </w:rPr>
        <w:t xml:space="preserve">Ocena wniosku o powierzenie grantu przeprowadzana jest w oparciu o kryteria oceny wniosków, stanowiące </w:t>
      </w:r>
      <w:r w:rsidR="00E3433B" w:rsidRPr="00827590">
        <w:rPr>
          <w:rFonts w:cstheme="minorHAnsi"/>
          <w:i/>
        </w:rPr>
        <w:t>Z</w:t>
      </w:r>
      <w:r w:rsidR="005B2103" w:rsidRPr="00827590">
        <w:rPr>
          <w:rFonts w:cstheme="minorHAnsi"/>
          <w:i/>
        </w:rPr>
        <w:t>ałącznik nr 2 do Regulaminu.</w:t>
      </w:r>
    </w:p>
    <w:p w:rsidR="005B2103" w:rsidRPr="00827590" w:rsidRDefault="005B2103" w:rsidP="00312B6E">
      <w:pPr>
        <w:pStyle w:val="Akapitzlist"/>
        <w:numPr>
          <w:ilvl w:val="0"/>
          <w:numId w:val="26"/>
        </w:numPr>
        <w:ind w:left="357" w:hanging="357"/>
        <w:jc w:val="both"/>
        <w:rPr>
          <w:rFonts w:cstheme="minorHAnsi"/>
        </w:rPr>
      </w:pPr>
      <w:r w:rsidRPr="00827590">
        <w:rPr>
          <w:rFonts w:cstheme="minorHAnsi"/>
        </w:rPr>
        <w:t>Kryteria oceny wniosków dzielą się na obligatoryjne i premiujące.</w:t>
      </w:r>
    </w:p>
    <w:p w:rsidR="005B2103" w:rsidRPr="00827590" w:rsidRDefault="005B2103" w:rsidP="00312B6E">
      <w:pPr>
        <w:pStyle w:val="Akapitzlist"/>
        <w:numPr>
          <w:ilvl w:val="0"/>
          <w:numId w:val="26"/>
        </w:numPr>
        <w:ind w:left="357" w:hanging="357"/>
        <w:jc w:val="both"/>
        <w:rPr>
          <w:rFonts w:cstheme="minorHAnsi"/>
        </w:rPr>
      </w:pPr>
      <w:r w:rsidRPr="00827590">
        <w:rPr>
          <w:rFonts w:cstheme="minorHAnsi"/>
        </w:rPr>
        <w:t>Wniosek o powierzenie grantu zostanie oceniony pozytywnie pod warunkiem spełnienia wszystkich kryteriów obligatoryjnych.</w:t>
      </w:r>
    </w:p>
    <w:p w:rsidR="005B2103" w:rsidRPr="00827590" w:rsidRDefault="005B2103" w:rsidP="00312B6E">
      <w:pPr>
        <w:pStyle w:val="Akapitzlist"/>
        <w:numPr>
          <w:ilvl w:val="0"/>
          <w:numId w:val="26"/>
        </w:numPr>
        <w:ind w:left="357" w:hanging="357"/>
        <w:jc w:val="both"/>
        <w:rPr>
          <w:rFonts w:cstheme="minorHAnsi"/>
        </w:rPr>
      </w:pPr>
      <w:r w:rsidRPr="00827590">
        <w:rPr>
          <w:rFonts w:cstheme="minorHAnsi"/>
        </w:rPr>
        <w:t>Wnioski spełniające dodatkowo kryteria premiujące będą miały pierwszeństwo otrzymania dofinansowania w postaci grantu.</w:t>
      </w:r>
    </w:p>
    <w:p w:rsidR="00E41521" w:rsidRPr="00827590" w:rsidRDefault="00E41521" w:rsidP="00D924A4">
      <w:pPr>
        <w:pStyle w:val="Akapitzlist"/>
        <w:numPr>
          <w:ilvl w:val="0"/>
          <w:numId w:val="26"/>
        </w:numPr>
        <w:ind w:left="357" w:hanging="357"/>
        <w:jc w:val="both"/>
        <w:rPr>
          <w:rFonts w:cstheme="minorHAnsi"/>
        </w:rPr>
      </w:pPr>
      <w:r w:rsidRPr="00827590">
        <w:rPr>
          <w:rFonts w:cstheme="minorHAnsi"/>
        </w:rPr>
        <w:t>Warunkiem przyznania dofinansowania jest dostępność środków finansowych przeznaczonych na granty.</w:t>
      </w:r>
    </w:p>
    <w:p w:rsidR="005B2103" w:rsidRPr="00827590" w:rsidRDefault="00E3433B" w:rsidP="00D924A4">
      <w:pPr>
        <w:pStyle w:val="Akapitzlist"/>
        <w:numPr>
          <w:ilvl w:val="0"/>
          <w:numId w:val="26"/>
        </w:numPr>
        <w:ind w:left="357" w:hanging="357"/>
        <w:jc w:val="both"/>
        <w:rPr>
          <w:rFonts w:cstheme="minorHAnsi"/>
        </w:rPr>
      </w:pPr>
      <w:proofErr w:type="spellStart"/>
      <w:r w:rsidRPr="00827590">
        <w:rPr>
          <w:rFonts w:cstheme="minorHAnsi"/>
        </w:rPr>
        <w:t>Grantodawca</w:t>
      </w:r>
      <w:proofErr w:type="spellEnd"/>
      <w:r w:rsidRPr="00827590">
        <w:rPr>
          <w:rFonts w:cstheme="minorHAnsi"/>
        </w:rPr>
        <w:t xml:space="preserve"> informuje pisemnie oraz za pośrednictwem poczty elektronicznej Przedsiębiorcę o wyniku oceny wniosku niezwłocznie po jej zakończeniu. Informacja zawiera uzasadnienie.</w:t>
      </w:r>
    </w:p>
    <w:p w:rsidR="005B2103" w:rsidRPr="00827590" w:rsidRDefault="005B2103" w:rsidP="005B2103">
      <w:pPr>
        <w:jc w:val="both"/>
        <w:rPr>
          <w:rFonts w:cstheme="minorHAnsi"/>
        </w:rPr>
      </w:pPr>
    </w:p>
    <w:p w:rsidR="00212AD5" w:rsidRPr="00827590" w:rsidRDefault="00212AD5" w:rsidP="00212AD5">
      <w:pPr>
        <w:spacing w:after="0" w:line="240" w:lineRule="auto"/>
        <w:jc w:val="center"/>
        <w:rPr>
          <w:rFonts w:cstheme="minorHAnsi"/>
          <w:b/>
        </w:rPr>
      </w:pPr>
      <w:r w:rsidRPr="00827590">
        <w:rPr>
          <w:rFonts w:cstheme="minorHAnsi"/>
          <w:b/>
        </w:rPr>
        <w:t>§11</w:t>
      </w:r>
    </w:p>
    <w:p w:rsidR="00212AD5" w:rsidRPr="00827590" w:rsidRDefault="00E3433B" w:rsidP="00212AD5">
      <w:pPr>
        <w:spacing w:after="0" w:line="240" w:lineRule="auto"/>
        <w:jc w:val="center"/>
        <w:rPr>
          <w:rFonts w:cstheme="minorHAnsi"/>
          <w:b/>
        </w:rPr>
      </w:pPr>
      <w:r w:rsidRPr="00827590">
        <w:rPr>
          <w:rFonts w:cstheme="minorHAnsi"/>
          <w:b/>
        </w:rPr>
        <w:lastRenderedPageBreak/>
        <w:t>Odwołanie się od negatywnej oceny wniosku o powierzenie grantu</w:t>
      </w:r>
    </w:p>
    <w:p w:rsidR="00212AD5" w:rsidRPr="00827590" w:rsidRDefault="00212AD5" w:rsidP="00212AD5">
      <w:pPr>
        <w:pStyle w:val="Akapitzlist"/>
        <w:jc w:val="both"/>
        <w:rPr>
          <w:rFonts w:cstheme="minorHAnsi"/>
        </w:rPr>
      </w:pPr>
    </w:p>
    <w:p w:rsidR="00F428AF" w:rsidRPr="00827590" w:rsidRDefault="00E3433B" w:rsidP="00312B6E">
      <w:pPr>
        <w:pStyle w:val="Akapitzlist"/>
        <w:numPr>
          <w:ilvl w:val="0"/>
          <w:numId w:val="27"/>
        </w:numPr>
        <w:ind w:left="357" w:hanging="357"/>
        <w:jc w:val="both"/>
        <w:rPr>
          <w:rFonts w:cstheme="minorHAnsi"/>
        </w:rPr>
      </w:pPr>
      <w:r w:rsidRPr="00827590">
        <w:rPr>
          <w:rFonts w:cstheme="minorHAnsi"/>
        </w:rPr>
        <w:t>W przypadku negatywnej oceny wniosku, Przedsiębiorcy przysługuje prawo wniesienia protestu.</w:t>
      </w:r>
    </w:p>
    <w:p w:rsidR="00B841A7" w:rsidRPr="00827590" w:rsidRDefault="00B841A7" w:rsidP="00312B6E">
      <w:pPr>
        <w:pStyle w:val="Akapitzlist"/>
        <w:numPr>
          <w:ilvl w:val="0"/>
          <w:numId w:val="27"/>
        </w:numPr>
        <w:ind w:left="357" w:hanging="357"/>
        <w:jc w:val="both"/>
        <w:rPr>
          <w:rFonts w:cstheme="minorHAnsi"/>
        </w:rPr>
      </w:pPr>
      <w:r w:rsidRPr="00827590">
        <w:rPr>
          <w:rFonts w:cstheme="minorHAnsi"/>
        </w:rPr>
        <w:t>Termin na złożenie protestu wynosi 14 dni kalendarzowych od dnia otrzymania wyników oceny przez Przedsiębiorcę.</w:t>
      </w:r>
    </w:p>
    <w:p w:rsidR="00B841A7" w:rsidRPr="00827590" w:rsidRDefault="00B841A7" w:rsidP="00312B6E">
      <w:pPr>
        <w:pStyle w:val="Akapitzlist"/>
        <w:numPr>
          <w:ilvl w:val="0"/>
          <w:numId w:val="27"/>
        </w:numPr>
        <w:ind w:left="357" w:hanging="357"/>
        <w:jc w:val="both"/>
        <w:rPr>
          <w:rFonts w:cstheme="minorHAnsi"/>
        </w:rPr>
      </w:pPr>
      <w:r w:rsidRPr="00827590">
        <w:rPr>
          <w:rFonts w:cstheme="minorHAnsi"/>
        </w:rPr>
        <w:t>Protest wnoszony jest w formie pisemnej i zawiera oznaczenie instytucji właściwej do rozpatrzenia protestu, oznaczenie Przedsiębiorcy, numer wniosku o powierzenie grantu, wskazanie zarzutów do dokonanej oceny wraz z uzasadnieniem, podpis Przedsiębiorcy lub osoby upoważnionej do jego reprezentowania.</w:t>
      </w:r>
    </w:p>
    <w:p w:rsidR="000071AA" w:rsidRPr="000071AA" w:rsidRDefault="000071AA" w:rsidP="000071AA">
      <w:pPr>
        <w:pStyle w:val="Akapitzlist"/>
        <w:numPr>
          <w:ilvl w:val="0"/>
          <w:numId w:val="27"/>
        </w:numPr>
        <w:ind w:left="357" w:hanging="357"/>
        <w:jc w:val="both"/>
        <w:rPr>
          <w:rFonts w:cstheme="minorHAnsi"/>
        </w:rPr>
      </w:pPr>
      <w:r w:rsidRPr="000071AA">
        <w:rPr>
          <w:rFonts w:cstheme="minorHAnsi"/>
        </w:rPr>
        <w:t xml:space="preserve">W przypadku braków formalnych </w:t>
      </w:r>
      <w:proofErr w:type="spellStart"/>
      <w:r w:rsidRPr="000071AA">
        <w:rPr>
          <w:rFonts w:cstheme="minorHAnsi"/>
        </w:rPr>
        <w:t>Grantodawca</w:t>
      </w:r>
      <w:proofErr w:type="spellEnd"/>
      <w:r w:rsidRPr="000071AA">
        <w:rPr>
          <w:rFonts w:cstheme="minorHAnsi"/>
        </w:rPr>
        <w:t xml:space="preserve"> wzywa Przedsiębiorcę do ich uzupełnienia w terminie 7 dni od otrzymania wezwania, pod rygorem pozostawienia protestu bez rozpatrzenia. O dochowaniu terminu decyduje data wpływu poprawionego protestu do biura projektu przy ul. Osiedle II 6A w Suwałkach – potwierdzona osobiście przez pracownika biura.</w:t>
      </w:r>
    </w:p>
    <w:p w:rsidR="00B841A7" w:rsidRPr="00827590" w:rsidRDefault="00B841A7" w:rsidP="00312B6E">
      <w:pPr>
        <w:pStyle w:val="Akapitzlist"/>
        <w:numPr>
          <w:ilvl w:val="0"/>
          <w:numId w:val="27"/>
        </w:numPr>
        <w:ind w:left="357" w:hanging="357"/>
        <w:jc w:val="both"/>
        <w:rPr>
          <w:rFonts w:cstheme="minorHAnsi"/>
        </w:rPr>
      </w:pPr>
      <w:r w:rsidRPr="00827590">
        <w:rPr>
          <w:rFonts w:cstheme="minorHAnsi"/>
        </w:rPr>
        <w:t>Protest wniesiony po terminie pozostawia się bez rozpatrzenia.</w:t>
      </w:r>
    </w:p>
    <w:p w:rsidR="00257D01" w:rsidRPr="00827590" w:rsidRDefault="00B841A7" w:rsidP="00312B6E">
      <w:pPr>
        <w:pStyle w:val="Akapitzlist"/>
        <w:numPr>
          <w:ilvl w:val="0"/>
          <w:numId w:val="27"/>
        </w:numPr>
        <w:ind w:left="357" w:hanging="357"/>
        <w:jc w:val="both"/>
        <w:rPr>
          <w:rFonts w:cstheme="minorHAnsi"/>
        </w:rPr>
      </w:pPr>
      <w:r w:rsidRPr="00827590">
        <w:rPr>
          <w:rFonts w:cstheme="minorHAnsi"/>
        </w:rPr>
        <w:t xml:space="preserve">Ponowna ocena wniosku dokonywana jest przez dwóch pracowników </w:t>
      </w:r>
      <w:proofErr w:type="spellStart"/>
      <w:r w:rsidRPr="00827590">
        <w:rPr>
          <w:rFonts w:cstheme="minorHAnsi"/>
        </w:rPr>
        <w:t>Grantodawcy</w:t>
      </w:r>
      <w:proofErr w:type="spellEnd"/>
      <w:r w:rsidRPr="00827590">
        <w:rPr>
          <w:rFonts w:cstheme="minorHAnsi"/>
        </w:rPr>
        <w:t>, którzy nie brali udziału w pierwotnej ocenie wniosku. Ocena może trwać maksymalnie 10 dni roboczych od dnia otrzymania kompletnego protestu. Oceniający zobowiązani są do zachowania poufności i bezstronności. Ponowna ocena odbywa się tylko w zakresie kryteriów zakwestionowanych przez protestującego, jest oceną ostateczną i kończy postępowanie w sprawie.</w:t>
      </w:r>
    </w:p>
    <w:p w:rsidR="00257D01" w:rsidRPr="00827590" w:rsidRDefault="00257D01" w:rsidP="00312B6E">
      <w:pPr>
        <w:pStyle w:val="Akapitzlist"/>
        <w:numPr>
          <w:ilvl w:val="0"/>
          <w:numId w:val="27"/>
        </w:numPr>
        <w:ind w:left="357" w:hanging="357"/>
        <w:jc w:val="both"/>
        <w:rPr>
          <w:rFonts w:cstheme="minorHAnsi"/>
        </w:rPr>
      </w:pPr>
      <w:proofErr w:type="spellStart"/>
      <w:r w:rsidRPr="00827590">
        <w:rPr>
          <w:rFonts w:cstheme="minorHAnsi"/>
        </w:rPr>
        <w:t>Grantodawca</w:t>
      </w:r>
      <w:proofErr w:type="spellEnd"/>
      <w:r w:rsidRPr="00827590">
        <w:rPr>
          <w:rFonts w:cstheme="minorHAnsi"/>
        </w:rPr>
        <w:t xml:space="preserve"> informuje pisemnie oraz za pośrednictwem poczty elektronicznej Przedsiębiorcę o wynikach oceny protestu niezwłocznie po jej zakończeniu wraz z uzasadnieniem.</w:t>
      </w:r>
    </w:p>
    <w:p w:rsidR="00257D01" w:rsidRPr="00827590" w:rsidRDefault="00257D01" w:rsidP="00257D01">
      <w:pPr>
        <w:spacing w:after="0" w:line="240" w:lineRule="auto"/>
        <w:jc w:val="center"/>
        <w:rPr>
          <w:rFonts w:cstheme="minorHAnsi"/>
          <w:b/>
        </w:rPr>
      </w:pPr>
      <w:r w:rsidRPr="00827590">
        <w:rPr>
          <w:rFonts w:cstheme="minorHAnsi"/>
          <w:b/>
        </w:rPr>
        <w:t>§12</w:t>
      </w:r>
    </w:p>
    <w:p w:rsidR="00257D01" w:rsidRPr="00827590" w:rsidRDefault="00257D01" w:rsidP="00257D01">
      <w:pPr>
        <w:spacing w:after="0" w:line="240" w:lineRule="auto"/>
        <w:jc w:val="center"/>
        <w:rPr>
          <w:rFonts w:cstheme="minorHAnsi"/>
          <w:b/>
        </w:rPr>
      </w:pPr>
      <w:r w:rsidRPr="00827590">
        <w:rPr>
          <w:rFonts w:cstheme="minorHAnsi"/>
          <w:b/>
        </w:rPr>
        <w:t>Umowa o powierzenie grantu</w:t>
      </w:r>
    </w:p>
    <w:p w:rsidR="00257D01" w:rsidRPr="00827590" w:rsidRDefault="00257D01" w:rsidP="00257D01">
      <w:pPr>
        <w:spacing w:after="0" w:line="240" w:lineRule="auto"/>
        <w:jc w:val="center"/>
        <w:rPr>
          <w:rFonts w:cstheme="minorHAnsi"/>
          <w:b/>
        </w:rPr>
      </w:pPr>
    </w:p>
    <w:p w:rsidR="00257D01" w:rsidRPr="00827590" w:rsidRDefault="00257D01" w:rsidP="00312B6E">
      <w:pPr>
        <w:pStyle w:val="Akapitzlist"/>
        <w:numPr>
          <w:ilvl w:val="0"/>
          <w:numId w:val="28"/>
        </w:numPr>
        <w:spacing w:after="0"/>
        <w:ind w:left="357" w:hanging="357"/>
        <w:jc w:val="both"/>
        <w:rPr>
          <w:rFonts w:cstheme="minorHAnsi"/>
        </w:rPr>
      </w:pPr>
      <w:r w:rsidRPr="00827590">
        <w:rPr>
          <w:rFonts w:cstheme="minorHAnsi"/>
        </w:rPr>
        <w:t xml:space="preserve">Przedsiębiorca, którego wniosek o powierzenie grantu został oceniony pozytywnie i wybrany do dofinansowania, zostanie wezwany do przedłożenia, w przeciągu 10 dni kalendarzowych od dnia otrzymania pisma, niezbędnych dokumentów do przygotowania </w:t>
      </w:r>
      <w:r w:rsidRPr="00827590">
        <w:rPr>
          <w:rFonts w:cstheme="minorHAnsi"/>
          <w:i/>
        </w:rPr>
        <w:t>Umowy o powierzenie grantu</w:t>
      </w:r>
      <w:r w:rsidRPr="00827590">
        <w:rPr>
          <w:rFonts w:cstheme="minorHAnsi"/>
        </w:rPr>
        <w:t xml:space="preserve">, której wzór stanowi </w:t>
      </w:r>
      <w:r w:rsidRPr="00827590">
        <w:rPr>
          <w:rFonts w:cstheme="minorHAnsi"/>
          <w:i/>
        </w:rPr>
        <w:t>Załącznik nr 3 do Regulaminu.</w:t>
      </w:r>
    </w:p>
    <w:p w:rsidR="00257D01" w:rsidRPr="00827590" w:rsidRDefault="00257D01" w:rsidP="00312B6E">
      <w:pPr>
        <w:pStyle w:val="Akapitzlist"/>
        <w:numPr>
          <w:ilvl w:val="0"/>
          <w:numId w:val="28"/>
        </w:numPr>
        <w:spacing w:after="0"/>
        <w:ind w:left="357" w:hanging="357"/>
        <w:jc w:val="both"/>
        <w:rPr>
          <w:rFonts w:cstheme="minorHAnsi"/>
        </w:rPr>
      </w:pPr>
      <w:r w:rsidRPr="00827590">
        <w:rPr>
          <w:rFonts w:cstheme="minorHAnsi"/>
        </w:rPr>
        <w:t xml:space="preserve">Podpisanie Umowy nastąpi w terminie uzgodnionym między </w:t>
      </w:r>
      <w:proofErr w:type="spellStart"/>
      <w:r w:rsidRPr="00827590">
        <w:rPr>
          <w:rFonts w:cstheme="minorHAnsi"/>
        </w:rPr>
        <w:t>Grantobiorcą</w:t>
      </w:r>
      <w:proofErr w:type="spellEnd"/>
      <w:r w:rsidRPr="00827590">
        <w:rPr>
          <w:rFonts w:cstheme="minorHAnsi"/>
        </w:rPr>
        <w:t xml:space="preserve">, a </w:t>
      </w:r>
      <w:proofErr w:type="spellStart"/>
      <w:r w:rsidRPr="00827590">
        <w:rPr>
          <w:rFonts w:cstheme="minorHAnsi"/>
        </w:rPr>
        <w:t>Grantodawcą</w:t>
      </w:r>
      <w:proofErr w:type="spellEnd"/>
      <w:r w:rsidRPr="00827590">
        <w:rPr>
          <w:rFonts w:cstheme="minorHAnsi"/>
        </w:rPr>
        <w:t>.</w:t>
      </w:r>
    </w:p>
    <w:p w:rsidR="00257D01" w:rsidRDefault="00257D01" w:rsidP="00312B6E">
      <w:pPr>
        <w:pStyle w:val="Akapitzlist"/>
        <w:numPr>
          <w:ilvl w:val="0"/>
          <w:numId w:val="28"/>
        </w:numPr>
        <w:spacing w:after="0"/>
        <w:ind w:left="357" w:hanging="357"/>
        <w:jc w:val="both"/>
        <w:rPr>
          <w:rFonts w:cstheme="minorHAnsi"/>
        </w:rPr>
      </w:pPr>
      <w:r w:rsidRPr="00827590">
        <w:rPr>
          <w:rFonts w:cstheme="minorHAnsi"/>
        </w:rPr>
        <w:t xml:space="preserve">W przypadku braku stawiennictwa </w:t>
      </w:r>
      <w:proofErr w:type="spellStart"/>
      <w:r w:rsidRPr="00827590">
        <w:rPr>
          <w:rFonts w:cstheme="minorHAnsi"/>
        </w:rPr>
        <w:t>Grantobiorcy</w:t>
      </w:r>
      <w:proofErr w:type="spellEnd"/>
      <w:r w:rsidRPr="00827590">
        <w:rPr>
          <w:rFonts w:cstheme="minorHAnsi"/>
        </w:rPr>
        <w:t xml:space="preserve"> w wyznaczonym dniu, </w:t>
      </w:r>
      <w:proofErr w:type="spellStart"/>
      <w:r w:rsidRPr="00827590">
        <w:rPr>
          <w:rFonts w:cstheme="minorHAnsi"/>
        </w:rPr>
        <w:t>Grantodawca</w:t>
      </w:r>
      <w:proofErr w:type="spellEnd"/>
      <w:r w:rsidRPr="00827590">
        <w:rPr>
          <w:rFonts w:cstheme="minorHAnsi"/>
        </w:rPr>
        <w:t xml:space="preserve"> wyznacza kolejny termin podpisania umowy o powierzenie grantu. brak stawiennictwa w kolejnym terminie skutkować może odmową zawarcia umowy o powierzenie grantu przez </w:t>
      </w:r>
      <w:proofErr w:type="spellStart"/>
      <w:r w:rsidRPr="00827590">
        <w:rPr>
          <w:rFonts w:cstheme="minorHAnsi"/>
        </w:rPr>
        <w:t>Grantodawcę</w:t>
      </w:r>
      <w:proofErr w:type="spellEnd"/>
      <w:r w:rsidRPr="00827590">
        <w:rPr>
          <w:rFonts w:cstheme="minorHAnsi"/>
        </w:rPr>
        <w:t>.</w:t>
      </w:r>
    </w:p>
    <w:p w:rsidR="000071AA" w:rsidRPr="00827590" w:rsidRDefault="000071AA" w:rsidP="000071AA">
      <w:pPr>
        <w:pStyle w:val="Akapitzlist"/>
        <w:numPr>
          <w:ilvl w:val="0"/>
          <w:numId w:val="28"/>
        </w:numPr>
        <w:spacing w:after="0"/>
        <w:ind w:left="357" w:hanging="357"/>
        <w:jc w:val="both"/>
        <w:rPr>
          <w:rFonts w:cstheme="minorHAnsi"/>
        </w:rPr>
      </w:pPr>
      <w:r w:rsidRPr="000071AA">
        <w:rPr>
          <w:rFonts w:cstheme="minorHAnsi"/>
        </w:rPr>
        <w:t xml:space="preserve">Istnieje możliwość zdarzeń losowych niezależnych od </w:t>
      </w:r>
      <w:proofErr w:type="spellStart"/>
      <w:r w:rsidRPr="000071AA">
        <w:rPr>
          <w:rFonts w:cstheme="minorHAnsi"/>
        </w:rPr>
        <w:t>Grantodawcy</w:t>
      </w:r>
      <w:proofErr w:type="spellEnd"/>
      <w:r w:rsidRPr="000071AA">
        <w:rPr>
          <w:rFonts w:cstheme="minorHAnsi"/>
        </w:rPr>
        <w:t xml:space="preserve">, działania siły wyższej, a także zdarzeń, których nie można było przewidzieć lub były mało prawdopodobne, które mogą uniemożliwić terminową ocenę wniosków, takim przypadku, </w:t>
      </w:r>
      <w:proofErr w:type="spellStart"/>
      <w:r w:rsidRPr="000071AA">
        <w:rPr>
          <w:rFonts w:cstheme="minorHAnsi"/>
        </w:rPr>
        <w:t>Grantodawca</w:t>
      </w:r>
      <w:proofErr w:type="spellEnd"/>
      <w:r w:rsidRPr="000071AA">
        <w:rPr>
          <w:rFonts w:cstheme="minorHAnsi"/>
        </w:rPr>
        <w:t xml:space="preserve"> może wydłużyć czas poszczególnych etapów prac, o czym niezwłocznie poinformuje Wnioskodawcę za pomocą poczty elektronicznej / telefonicznie. Jeśli błędy we wniosku/załącznikach do wniosku/umowy nie są istotne (nie wpływają na kwalifikowalność przedsięwzięcia, np. literówki/ nr stron/ błędy nie będące przedmiotem oceny, itp.), to </w:t>
      </w:r>
      <w:proofErr w:type="spellStart"/>
      <w:r w:rsidRPr="000071AA">
        <w:rPr>
          <w:rFonts w:cstheme="minorHAnsi"/>
        </w:rPr>
        <w:t>Grantodawca</w:t>
      </w:r>
      <w:proofErr w:type="spellEnd"/>
      <w:r w:rsidRPr="000071AA">
        <w:rPr>
          <w:rFonts w:cstheme="minorHAnsi"/>
        </w:rPr>
        <w:t xml:space="preserve"> może uznać prawidłowość przedmiotowych dokumentów. Jeśli na każdym etapie realizacji projektu – </w:t>
      </w:r>
      <w:proofErr w:type="spellStart"/>
      <w:r w:rsidRPr="000071AA">
        <w:rPr>
          <w:rFonts w:cstheme="minorHAnsi"/>
        </w:rPr>
        <w:t>Grantodawca</w:t>
      </w:r>
      <w:proofErr w:type="spellEnd"/>
      <w:r w:rsidRPr="000071AA">
        <w:rPr>
          <w:rFonts w:cstheme="minorHAnsi"/>
        </w:rPr>
        <w:t xml:space="preserve"> pozyska informacje uniemożliwiające zawarcie umowy/ rozliczenie grantu ze względu na ważny interes  społeczny/  podstawę prawną uniemożliwiającą kwalifikowalność umowy, w takiej sytuacji  </w:t>
      </w:r>
      <w:proofErr w:type="spellStart"/>
      <w:r w:rsidRPr="000071AA">
        <w:rPr>
          <w:rFonts w:cstheme="minorHAnsi"/>
        </w:rPr>
        <w:t>Grantodawca</w:t>
      </w:r>
      <w:proofErr w:type="spellEnd"/>
      <w:r w:rsidRPr="000071AA">
        <w:rPr>
          <w:rFonts w:cstheme="minorHAnsi"/>
        </w:rPr>
        <w:t xml:space="preserve"> </w:t>
      </w:r>
      <w:r w:rsidRPr="000071AA">
        <w:rPr>
          <w:rFonts w:cstheme="minorHAnsi"/>
        </w:rPr>
        <w:lastRenderedPageBreak/>
        <w:t>może nie zawrzeć umowy/ rozwiązać ją ze skutkiem natychmiastowym wraz z uzas</w:t>
      </w:r>
      <w:r>
        <w:rPr>
          <w:rFonts w:cstheme="minorHAnsi"/>
        </w:rPr>
        <w:t>adnieniem faktycznym i prawnym.</w:t>
      </w:r>
    </w:p>
    <w:p w:rsidR="00257D01" w:rsidRPr="00827590" w:rsidRDefault="00257D01" w:rsidP="00257D01">
      <w:pPr>
        <w:pStyle w:val="Akapitzlist"/>
        <w:spacing w:after="0"/>
        <w:ind w:left="1077"/>
        <w:jc w:val="both"/>
        <w:rPr>
          <w:rFonts w:cstheme="minorHAnsi"/>
        </w:rPr>
      </w:pPr>
    </w:p>
    <w:p w:rsidR="00F739E7" w:rsidRPr="00827590" w:rsidRDefault="00F739E7" w:rsidP="00F739E7">
      <w:pPr>
        <w:spacing w:after="0" w:line="240" w:lineRule="auto"/>
        <w:jc w:val="center"/>
        <w:rPr>
          <w:rFonts w:cstheme="minorHAnsi"/>
          <w:b/>
        </w:rPr>
      </w:pPr>
      <w:r w:rsidRPr="00827590">
        <w:rPr>
          <w:rFonts w:cstheme="minorHAnsi"/>
          <w:b/>
        </w:rPr>
        <w:t>§13</w:t>
      </w:r>
    </w:p>
    <w:p w:rsidR="00F739E7" w:rsidRPr="00827590" w:rsidRDefault="00F739E7" w:rsidP="00F739E7">
      <w:pPr>
        <w:spacing w:after="0" w:line="240" w:lineRule="auto"/>
        <w:jc w:val="center"/>
        <w:rPr>
          <w:rFonts w:cstheme="minorHAnsi"/>
          <w:b/>
        </w:rPr>
      </w:pPr>
      <w:r w:rsidRPr="00827590">
        <w:rPr>
          <w:rFonts w:cstheme="minorHAnsi"/>
          <w:b/>
        </w:rPr>
        <w:t>Postanowienia końcowe</w:t>
      </w:r>
    </w:p>
    <w:p w:rsidR="00592D9F" w:rsidRPr="00827590" w:rsidRDefault="00592D9F" w:rsidP="00F739E7">
      <w:pPr>
        <w:spacing w:after="0" w:line="240" w:lineRule="auto"/>
        <w:jc w:val="center"/>
        <w:rPr>
          <w:rFonts w:cstheme="minorHAnsi"/>
          <w:b/>
        </w:rPr>
      </w:pPr>
    </w:p>
    <w:p w:rsidR="0066680A" w:rsidRPr="00827590" w:rsidRDefault="00F739E7" w:rsidP="00312B6E">
      <w:pPr>
        <w:pStyle w:val="Akapitzlist"/>
        <w:numPr>
          <w:ilvl w:val="0"/>
          <w:numId w:val="29"/>
        </w:numPr>
        <w:spacing w:after="0"/>
        <w:ind w:left="357" w:hanging="357"/>
        <w:rPr>
          <w:rFonts w:cstheme="minorHAnsi"/>
        </w:rPr>
      </w:pPr>
      <w:r w:rsidRPr="00827590">
        <w:rPr>
          <w:rFonts w:cstheme="minorHAnsi"/>
        </w:rPr>
        <w:t xml:space="preserve">Agencja Rozwoju Regionalnego „ARES” S.A. w Suwałkach może dokonać zmian w Regulaminie powierzania grantów. Informacja o planowanych zmianach zostanie zamieszczona na stronie internetowej projektu </w:t>
      </w:r>
      <w:r w:rsidR="0066680A" w:rsidRPr="00827590">
        <w:rPr>
          <w:rFonts w:cstheme="minorHAnsi"/>
        </w:rPr>
        <w:t>co najmniej 14 dni przed ich wprowadzeniem.</w:t>
      </w:r>
    </w:p>
    <w:p w:rsidR="0066680A" w:rsidRPr="00827590" w:rsidRDefault="0066680A" w:rsidP="00312B6E">
      <w:pPr>
        <w:pStyle w:val="Akapitzlist"/>
        <w:numPr>
          <w:ilvl w:val="0"/>
          <w:numId w:val="29"/>
        </w:numPr>
        <w:spacing w:after="0"/>
        <w:ind w:left="357" w:hanging="357"/>
        <w:rPr>
          <w:rFonts w:cstheme="minorHAnsi"/>
        </w:rPr>
      </w:pPr>
      <w:r w:rsidRPr="00827590">
        <w:rPr>
          <w:rFonts w:cstheme="minorHAnsi"/>
        </w:rPr>
        <w:t xml:space="preserve">Pytania i wątpliwości dotyczące treści </w:t>
      </w:r>
      <w:r w:rsidRPr="00827590">
        <w:rPr>
          <w:rFonts w:cstheme="minorHAnsi"/>
          <w:i/>
        </w:rPr>
        <w:t>Regulaminu powierzania grantów</w:t>
      </w:r>
      <w:r w:rsidRPr="00827590">
        <w:rPr>
          <w:rFonts w:cstheme="minorHAnsi"/>
        </w:rPr>
        <w:t xml:space="preserve"> można zgłaszać na adres e-mail ces@ares.suwalki.pl, bądź osobiście w biurze projektu w Centrum Edukacyjno-Szkoleniowym Agencji Rozwoju Regionalnego „ARES” S.A. w Suwałkach, 16-400 Suwałki, ul. Osiedle II 6A.</w:t>
      </w:r>
    </w:p>
    <w:p w:rsidR="00592D9F" w:rsidRPr="00827590" w:rsidRDefault="00592D9F" w:rsidP="00592D9F">
      <w:pPr>
        <w:pStyle w:val="Akapitzlist"/>
        <w:spacing w:after="0"/>
        <w:ind w:left="357"/>
        <w:rPr>
          <w:rFonts w:cstheme="minorHAnsi"/>
        </w:rPr>
      </w:pPr>
    </w:p>
    <w:p w:rsidR="00592D9F" w:rsidRPr="00827590" w:rsidRDefault="00592D9F" w:rsidP="00592D9F">
      <w:pPr>
        <w:pStyle w:val="Akapitzlist"/>
        <w:spacing w:after="0"/>
        <w:ind w:left="357"/>
        <w:rPr>
          <w:rFonts w:cstheme="minorHAnsi"/>
        </w:rPr>
      </w:pPr>
    </w:p>
    <w:p w:rsidR="00592D9F" w:rsidRPr="00827590" w:rsidRDefault="00592D9F" w:rsidP="00592D9F">
      <w:pPr>
        <w:spacing w:after="0" w:line="240" w:lineRule="auto"/>
        <w:jc w:val="center"/>
        <w:rPr>
          <w:rFonts w:cstheme="minorHAnsi"/>
          <w:b/>
        </w:rPr>
      </w:pPr>
      <w:r w:rsidRPr="00827590">
        <w:rPr>
          <w:rFonts w:cstheme="minorHAnsi"/>
          <w:b/>
        </w:rPr>
        <w:t>§14</w:t>
      </w:r>
    </w:p>
    <w:p w:rsidR="00592D9F" w:rsidRPr="00827590" w:rsidRDefault="00592D9F" w:rsidP="00592D9F">
      <w:pPr>
        <w:spacing w:after="0" w:line="240" w:lineRule="auto"/>
        <w:jc w:val="center"/>
        <w:rPr>
          <w:rFonts w:cstheme="minorHAnsi"/>
          <w:b/>
        </w:rPr>
      </w:pPr>
      <w:r w:rsidRPr="00827590">
        <w:rPr>
          <w:rFonts w:cstheme="minorHAnsi"/>
          <w:b/>
        </w:rPr>
        <w:t>Załączniki</w:t>
      </w:r>
    </w:p>
    <w:p w:rsidR="00592D9F" w:rsidRPr="00827590" w:rsidRDefault="00592D9F" w:rsidP="00592D9F">
      <w:pPr>
        <w:spacing w:after="0" w:line="240" w:lineRule="auto"/>
        <w:jc w:val="center"/>
        <w:rPr>
          <w:rFonts w:cstheme="minorHAnsi"/>
          <w:b/>
        </w:rPr>
      </w:pPr>
    </w:p>
    <w:p w:rsidR="00592D9F" w:rsidRPr="00827590" w:rsidRDefault="00592D9F" w:rsidP="00312B6E">
      <w:pPr>
        <w:pStyle w:val="Akapitzlist"/>
        <w:numPr>
          <w:ilvl w:val="0"/>
          <w:numId w:val="30"/>
        </w:numPr>
        <w:spacing w:after="0" w:line="240" w:lineRule="auto"/>
        <w:rPr>
          <w:rFonts w:cstheme="minorHAnsi"/>
        </w:rPr>
      </w:pPr>
      <w:r w:rsidRPr="00827590">
        <w:rPr>
          <w:rFonts w:cstheme="minorHAnsi"/>
        </w:rPr>
        <w:t xml:space="preserve">Załącznik nr 1 – </w:t>
      </w:r>
      <w:r w:rsidR="005D186E" w:rsidRPr="00827590">
        <w:rPr>
          <w:rFonts w:cstheme="minorHAnsi"/>
        </w:rPr>
        <w:t>Wzór w</w:t>
      </w:r>
      <w:r w:rsidRPr="00827590">
        <w:rPr>
          <w:rFonts w:cstheme="minorHAnsi"/>
        </w:rPr>
        <w:t>nios</w:t>
      </w:r>
      <w:r w:rsidR="005D186E" w:rsidRPr="00827590">
        <w:rPr>
          <w:rFonts w:cstheme="minorHAnsi"/>
        </w:rPr>
        <w:t>ku</w:t>
      </w:r>
      <w:r w:rsidRPr="00827590">
        <w:rPr>
          <w:rFonts w:cstheme="minorHAnsi"/>
        </w:rPr>
        <w:t xml:space="preserve"> o powierzenie grantu</w:t>
      </w:r>
    </w:p>
    <w:p w:rsidR="00592D9F" w:rsidRPr="00827590" w:rsidRDefault="00592D9F" w:rsidP="00312B6E">
      <w:pPr>
        <w:pStyle w:val="Akapitzlist"/>
        <w:numPr>
          <w:ilvl w:val="0"/>
          <w:numId w:val="30"/>
        </w:numPr>
        <w:spacing w:after="0" w:line="240" w:lineRule="auto"/>
        <w:rPr>
          <w:rFonts w:cstheme="minorHAnsi"/>
        </w:rPr>
      </w:pPr>
      <w:r w:rsidRPr="00827590">
        <w:rPr>
          <w:rFonts w:cstheme="minorHAnsi"/>
        </w:rPr>
        <w:t>Załącznik nr 2 – Kryteria oceny Wniosku o powierzenie grantu</w:t>
      </w:r>
    </w:p>
    <w:p w:rsidR="00592D9F" w:rsidRDefault="00592D9F" w:rsidP="00312B6E">
      <w:pPr>
        <w:pStyle w:val="Akapitzlist"/>
        <w:numPr>
          <w:ilvl w:val="0"/>
          <w:numId w:val="30"/>
        </w:numPr>
        <w:spacing w:after="0" w:line="240" w:lineRule="auto"/>
        <w:rPr>
          <w:rFonts w:cstheme="minorHAnsi"/>
        </w:rPr>
      </w:pPr>
      <w:r w:rsidRPr="00827590">
        <w:rPr>
          <w:rFonts w:cstheme="minorHAnsi"/>
        </w:rPr>
        <w:t>Załącznik nr 3 – Wzór Umowy o powierzenie grantu</w:t>
      </w:r>
    </w:p>
    <w:p w:rsidR="001C5EB8" w:rsidRPr="00827590" w:rsidRDefault="001C5EB8" w:rsidP="00312B6E">
      <w:pPr>
        <w:pStyle w:val="Akapitzlist"/>
        <w:numPr>
          <w:ilvl w:val="0"/>
          <w:numId w:val="30"/>
        </w:numPr>
        <w:spacing w:after="0" w:line="240" w:lineRule="auto"/>
        <w:rPr>
          <w:rFonts w:cstheme="minorHAnsi"/>
        </w:rPr>
      </w:pPr>
      <w:r>
        <w:rPr>
          <w:rFonts w:cstheme="minorHAnsi"/>
        </w:rPr>
        <w:t>Załącznik nr 4 – Wzór oświadczenia o poufności i bezstronności</w:t>
      </w:r>
    </w:p>
    <w:p w:rsidR="00257D01" w:rsidRPr="00827590" w:rsidRDefault="00257D01" w:rsidP="00257D01">
      <w:pPr>
        <w:jc w:val="both"/>
        <w:rPr>
          <w:rFonts w:cstheme="minorHAnsi"/>
        </w:rPr>
      </w:pPr>
    </w:p>
    <w:sectPr w:rsidR="00257D01" w:rsidRPr="00827590" w:rsidSect="00ED7C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C2" w:rsidRDefault="001F3BC2" w:rsidP="009935DE">
      <w:pPr>
        <w:spacing w:after="0" w:line="240" w:lineRule="auto"/>
      </w:pPr>
      <w:r>
        <w:separator/>
      </w:r>
    </w:p>
  </w:endnote>
  <w:endnote w:type="continuationSeparator" w:id="0">
    <w:p w:rsidR="001F3BC2" w:rsidRDefault="001F3BC2" w:rsidP="0099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46" w:rsidRDefault="00387046">
    <w:pPr>
      <w:pStyle w:val="Stopka"/>
      <w:jc w:val="right"/>
    </w:pPr>
  </w:p>
  <w:p w:rsidR="00782F0C" w:rsidRDefault="00782F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C2" w:rsidRDefault="001F3BC2" w:rsidP="009935DE">
      <w:pPr>
        <w:spacing w:after="0" w:line="240" w:lineRule="auto"/>
      </w:pPr>
      <w:r>
        <w:separator/>
      </w:r>
    </w:p>
  </w:footnote>
  <w:footnote w:type="continuationSeparator" w:id="0">
    <w:p w:rsidR="001F3BC2" w:rsidRDefault="001F3BC2" w:rsidP="0099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DE" w:rsidRDefault="00782F0C">
    <w:pPr>
      <w:pStyle w:val="Nagwek"/>
    </w:pPr>
    <w:r>
      <w:rPr>
        <w:noProof/>
        <w:lang w:eastAsia="pl-PL"/>
      </w:rPr>
      <w:drawing>
        <wp:inline distT="0" distB="0" distL="0" distR="0">
          <wp:extent cx="5760720" cy="804456"/>
          <wp:effectExtent l="0" t="0" r="0" b="0"/>
          <wp:docPr id="2069616373" name="Obraz 2069616373"/>
          <wp:cNvGraphicFramePr/>
          <a:graphic xmlns:a="http://schemas.openxmlformats.org/drawingml/2006/main">
            <a:graphicData uri="http://schemas.openxmlformats.org/drawingml/2006/picture">
              <pic:pic xmlns:pic="http://schemas.openxmlformats.org/drawingml/2006/picture">
                <pic:nvPicPr>
                  <pic:cNvPr id="2069616373" name="Obraz 206961637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445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F8A"/>
    <w:multiLevelType w:val="hybridMultilevel"/>
    <w:tmpl w:val="F38A9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66A35"/>
    <w:multiLevelType w:val="hybridMultilevel"/>
    <w:tmpl w:val="7E980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981446"/>
    <w:multiLevelType w:val="hybridMultilevel"/>
    <w:tmpl w:val="FCBA0C84"/>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682DBC"/>
    <w:multiLevelType w:val="hybridMultilevel"/>
    <w:tmpl w:val="83828206"/>
    <w:lvl w:ilvl="0" w:tplc="E328FA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CE78AF"/>
    <w:multiLevelType w:val="hybridMultilevel"/>
    <w:tmpl w:val="5250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8744E9"/>
    <w:multiLevelType w:val="hybridMultilevel"/>
    <w:tmpl w:val="A6824CA2"/>
    <w:lvl w:ilvl="0" w:tplc="337448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1075F5"/>
    <w:multiLevelType w:val="hybridMultilevel"/>
    <w:tmpl w:val="53569C9C"/>
    <w:lvl w:ilvl="0" w:tplc="81AE7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0E7AD5"/>
    <w:multiLevelType w:val="hybridMultilevel"/>
    <w:tmpl w:val="5EECE878"/>
    <w:lvl w:ilvl="0" w:tplc="B09A9E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AC08AF"/>
    <w:multiLevelType w:val="hybridMultilevel"/>
    <w:tmpl w:val="975E62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055C6A"/>
    <w:multiLevelType w:val="hybridMultilevel"/>
    <w:tmpl w:val="31F4A9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2BB3B9A"/>
    <w:multiLevelType w:val="hybridMultilevel"/>
    <w:tmpl w:val="49001B1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5201319C"/>
    <w:multiLevelType w:val="hybridMultilevel"/>
    <w:tmpl w:val="FA48409A"/>
    <w:lvl w:ilvl="0" w:tplc="E328FA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7F42C1"/>
    <w:multiLevelType w:val="hybridMultilevel"/>
    <w:tmpl w:val="66FAE590"/>
    <w:lvl w:ilvl="0" w:tplc="27100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AC4A3E"/>
    <w:multiLevelType w:val="hybridMultilevel"/>
    <w:tmpl w:val="C32AD54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B4360A2"/>
    <w:multiLevelType w:val="hybridMultilevel"/>
    <w:tmpl w:val="175EE57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5FB61C78"/>
    <w:multiLevelType w:val="hybridMultilevel"/>
    <w:tmpl w:val="A3EE7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710D27"/>
    <w:multiLevelType w:val="hybridMultilevel"/>
    <w:tmpl w:val="7F52E690"/>
    <w:lvl w:ilvl="0" w:tplc="04150017">
      <w:start w:val="1"/>
      <w:numFmt w:val="lowerLetter"/>
      <w:lvlText w:val="%1)"/>
      <w:lvlJc w:val="left"/>
      <w:pPr>
        <w:ind w:left="2157" w:hanging="360"/>
      </w:pPr>
    </w:lvl>
    <w:lvl w:ilvl="1" w:tplc="04150019" w:tentative="1">
      <w:start w:val="1"/>
      <w:numFmt w:val="lowerLetter"/>
      <w:lvlText w:val="%2."/>
      <w:lvlJc w:val="left"/>
      <w:pPr>
        <w:ind w:left="2877" w:hanging="360"/>
      </w:pPr>
    </w:lvl>
    <w:lvl w:ilvl="2" w:tplc="0415001B" w:tentative="1">
      <w:start w:val="1"/>
      <w:numFmt w:val="lowerRoman"/>
      <w:lvlText w:val="%3."/>
      <w:lvlJc w:val="right"/>
      <w:pPr>
        <w:ind w:left="3597" w:hanging="180"/>
      </w:pPr>
    </w:lvl>
    <w:lvl w:ilvl="3" w:tplc="0415000F" w:tentative="1">
      <w:start w:val="1"/>
      <w:numFmt w:val="decimal"/>
      <w:lvlText w:val="%4."/>
      <w:lvlJc w:val="left"/>
      <w:pPr>
        <w:ind w:left="4317" w:hanging="360"/>
      </w:pPr>
    </w:lvl>
    <w:lvl w:ilvl="4" w:tplc="04150019" w:tentative="1">
      <w:start w:val="1"/>
      <w:numFmt w:val="lowerLetter"/>
      <w:lvlText w:val="%5."/>
      <w:lvlJc w:val="left"/>
      <w:pPr>
        <w:ind w:left="5037" w:hanging="360"/>
      </w:pPr>
    </w:lvl>
    <w:lvl w:ilvl="5" w:tplc="0415001B" w:tentative="1">
      <w:start w:val="1"/>
      <w:numFmt w:val="lowerRoman"/>
      <w:lvlText w:val="%6."/>
      <w:lvlJc w:val="right"/>
      <w:pPr>
        <w:ind w:left="5757" w:hanging="180"/>
      </w:pPr>
    </w:lvl>
    <w:lvl w:ilvl="6" w:tplc="0415000F" w:tentative="1">
      <w:start w:val="1"/>
      <w:numFmt w:val="decimal"/>
      <w:lvlText w:val="%7."/>
      <w:lvlJc w:val="left"/>
      <w:pPr>
        <w:ind w:left="6477" w:hanging="360"/>
      </w:pPr>
    </w:lvl>
    <w:lvl w:ilvl="7" w:tplc="04150019" w:tentative="1">
      <w:start w:val="1"/>
      <w:numFmt w:val="lowerLetter"/>
      <w:lvlText w:val="%8."/>
      <w:lvlJc w:val="left"/>
      <w:pPr>
        <w:ind w:left="7197" w:hanging="360"/>
      </w:pPr>
    </w:lvl>
    <w:lvl w:ilvl="8" w:tplc="0415001B" w:tentative="1">
      <w:start w:val="1"/>
      <w:numFmt w:val="lowerRoman"/>
      <w:lvlText w:val="%9."/>
      <w:lvlJc w:val="right"/>
      <w:pPr>
        <w:ind w:left="7917" w:hanging="180"/>
      </w:pPr>
    </w:lvl>
  </w:abstractNum>
  <w:abstractNum w:abstractNumId="17">
    <w:nsid w:val="651B189D"/>
    <w:multiLevelType w:val="hybridMultilevel"/>
    <w:tmpl w:val="DDF23DAA"/>
    <w:lvl w:ilvl="0" w:tplc="0415000F">
      <w:start w:val="1"/>
      <w:numFmt w:val="decimal"/>
      <w:lvlText w:val="%1."/>
      <w:lvlJc w:val="left"/>
      <w:pPr>
        <w:ind w:left="2154" w:hanging="360"/>
      </w:p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18">
    <w:nsid w:val="654A2092"/>
    <w:multiLevelType w:val="hybridMultilevel"/>
    <w:tmpl w:val="26D4F3D6"/>
    <w:lvl w:ilvl="0" w:tplc="DAA6A1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F43EB6"/>
    <w:multiLevelType w:val="hybridMultilevel"/>
    <w:tmpl w:val="DAE4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83B6110"/>
    <w:multiLevelType w:val="hybridMultilevel"/>
    <w:tmpl w:val="DA9C3F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68FE218C"/>
    <w:multiLevelType w:val="hybridMultilevel"/>
    <w:tmpl w:val="2CE6D13C"/>
    <w:lvl w:ilvl="0" w:tplc="EBA838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076466"/>
    <w:multiLevelType w:val="hybridMultilevel"/>
    <w:tmpl w:val="D8FCC0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D9703E4"/>
    <w:multiLevelType w:val="hybridMultilevel"/>
    <w:tmpl w:val="7CB4824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6E6F6CC1"/>
    <w:multiLevelType w:val="hybridMultilevel"/>
    <w:tmpl w:val="0524A4FC"/>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nsid w:val="72C373DA"/>
    <w:multiLevelType w:val="hybridMultilevel"/>
    <w:tmpl w:val="724E99A8"/>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6">
    <w:nsid w:val="7491266F"/>
    <w:multiLevelType w:val="hybridMultilevel"/>
    <w:tmpl w:val="749E6F46"/>
    <w:lvl w:ilvl="0" w:tplc="0415000F">
      <w:start w:val="1"/>
      <w:numFmt w:val="decimal"/>
      <w:lvlText w:val="%1."/>
      <w:lvlJc w:val="left"/>
      <w:pPr>
        <w:ind w:left="720" w:hanging="360"/>
      </w:pPr>
    </w:lvl>
    <w:lvl w:ilvl="1" w:tplc="E1B2F5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811B73"/>
    <w:multiLevelType w:val="hybridMultilevel"/>
    <w:tmpl w:val="A3429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DB0E4E"/>
    <w:multiLevelType w:val="hybridMultilevel"/>
    <w:tmpl w:val="A970A30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7A0F6702"/>
    <w:multiLevelType w:val="hybridMultilevel"/>
    <w:tmpl w:val="0D6E8D1C"/>
    <w:lvl w:ilvl="0" w:tplc="FBC4473A">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920EF6"/>
    <w:multiLevelType w:val="hybridMultilevel"/>
    <w:tmpl w:val="4A5623B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nsid w:val="7F3446FD"/>
    <w:multiLevelType w:val="hybridMultilevel"/>
    <w:tmpl w:val="5B9CCC98"/>
    <w:lvl w:ilvl="0" w:tplc="E328FA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1"/>
  </w:num>
  <w:num w:numId="3">
    <w:abstractNumId w:val="3"/>
  </w:num>
  <w:num w:numId="4">
    <w:abstractNumId w:val="10"/>
  </w:num>
  <w:num w:numId="5">
    <w:abstractNumId w:val="25"/>
  </w:num>
  <w:num w:numId="6">
    <w:abstractNumId w:val="6"/>
  </w:num>
  <w:num w:numId="7">
    <w:abstractNumId w:val="14"/>
  </w:num>
  <w:num w:numId="8">
    <w:abstractNumId w:val="21"/>
  </w:num>
  <w:num w:numId="9">
    <w:abstractNumId w:val="22"/>
  </w:num>
  <w:num w:numId="10">
    <w:abstractNumId w:val="9"/>
  </w:num>
  <w:num w:numId="11">
    <w:abstractNumId w:val="13"/>
  </w:num>
  <w:num w:numId="12">
    <w:abstractNumId w:val="20"/>
  </w:num>
  <w:num w:numId="13">
    <w:abstractNumId w:val="19"/>
  </w:num>
  <w:num w:numId="14">
    <w:abstractNumId w:val="29"/>
  </w:num>
  <w:num w:numId="15">
    <w:abstractNumId w:val="7"/>
  </w:num>
  <w:num w:numId="16">
    <w:abstractNumId w:val="23"/>
  </w:num>
  <w:num w:numId="17">
    <w:abstractNumId w:val="28"/>
  </w:num>
  <w:num w:numId="18">
    <w:abstractNumId w:val="12"/>
  </w:num>
  <w:num w:numId="19">
    <w:abstractNumId w:val="26"/>
  </w:num>
  <w:num w:numId="20">
    <w:abstractNumId w:val="2"/>
  </w:num>
  <w:num w:numId="21">
    <w:abstractNumId w:val="30"/>
  </w:num>
  <w:num w:numId="22">
    <w:abstractNumId w:val="24"/>
  </w:num>
  <w:num w:numId="23">
    <w:abstractNumId w:val="0"/>
  </w:num>
  <w:num w:numId="24">
    <w:abstractNumId w:val="8"/>
  </w:num>
  <w:num w:numId="25">
    <w:abstractNumId w:val="4"/>
  </w:num>
  <w:num w:numId="26">
    <w:abstractNumId w:val="5"/>
  </w:num>
  <w:num w:numId="27">
    <w:abstractNumId w:val="15"/>
  </w:num>
  <w:num w:numId="28">
    <w:abstractNumId w:val="18"/>
  </w:num>
  <w:num w:numId="29">
    <w:abstractNumId w:val="27"/>
  </w:num>
  <w:num w:numId="30">
    <w:abstractNumId w:val="1"/>
  </w:num>
  <w:num w:numId="31">
    <w:abstractNumId w:val="16"/>
  </w:num>
  <w:num w:numId="32">
    <w:abstractNumId w:val="1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iusz Budrowski">
    <w15:presenceInfo w15:providerId="AD" w15:userId="S::dbudrowski@sgmk.edu.pl::c74fda01-986f-4b7c-a2ec-5c931cbd6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47123"/>
    <w:rsid w:val="000071AA"/>
    <w:rsid w:val="000206BE"/>
    <w:rsid w:val="000716EE"/>
    <w:rsid w:val="000C6C50"/>
    <w:rsid w:val="000D1588"/>
    <w:rsid w:val="00151564"/>
    <w:rsid w:val="001660A5"/>
    <w:rsid w:val="00186F98"/>
    <w:rsid w:val="001917FB"/>
    <w:rsid w:val="001A1DEC"/>
    <w:rsid w:val="001A7C59"/>
    <w:rsid w:val="001B1B95"/>
    <w:rsid w:val="001C5EB8"/>
    <w:rsid w:val="001C78DA"/>
    <w:rsid w:val="001D41CC"/>
    <w:rsid w:val="001F1FE0"/>
    <w:rsid w:val="001F2A68"/>
    <w:rsid w:val="001F3BC2"/>
    <w:rsid w:val="00212AD5"/>
    <w:rsid w:val="002508E7"/>
    <w:rsid w:val="00257D01"/>
    <w:rsid w:val="002761BA"/>
    <w:rsid w:val="00286D26"/>
    <w:rsid w:val="002A60AC"/>
    <w:rsid w:val="002C4B8D"/>
    <w:rsid w:val="002E3D27"/>
    <w:rsid w:val="002E701C"/>
    <w:rsid w:val="00312B6E"/>
    <w:rsid w:val="0033571C"/>
    <w:rsid w:val="003555C3"/>
    <w:rsid w:val="00384865"/>
    <w:rsid w:val="0038500F"/>
    <w:rsid w:val="00387046"/>
    <w:rsid w:val="0039505C"/>
    <w:rsid w:val="00395079"/>
    <w:rsid w:val="003C18A5"/>
    <w:rsid w:val="003F7505"/>
    <w:rsid w:val="0041414E"/>
    <w:rsid w:val="00435659"/>
    <w:rsid w:val="00473B26"/>
    <w:rsid w:val="004F49E7"/>
    <w:rsid w:val="005038D6"/>
    <w:rsid w:val="0050496F"/>
    <w:rsid w:val="0052514B"/>
    <w:rsid w:val="00535E3E"/>
    <w:rsid w:val="005506EA"/>
    <w:rsid w:val="00553FCD"/>
    <w:rsid w:val="00565D39"/>
    <w:rsid w:val="00577A98"/>
    <w:rsid w:val="00583B49"/>
    <w:rsid w:val="005868D4"/>
    <w:rsid w:val="00592D9F"/>
    <w:rsid w:val="005B2103"/>
    <w:rsid w:val="005D186E"/>
    <w:rsid w:val="005E0580"/>
    <w:rsid w:val="0061063E"/>
    <w:rsid w:val="00642D54"/>
    <w:rsid w:val="006452AD"/>
    <w:rsid w:val="00657968"/>
    <w:rsid w:val="0066680A"/>
    <w:rsid w:val="00685F14"/>
    <w:rsid w:val="006D4A48"/>
    <w:rsid w:val="00726B0B"/>
    <w:rsid w:val="00771F22"/>
    <w:rsid w:val="0077476D"/>
    <w:rsid w:val="00782F0C"/>
    <w:rsid w:val="007942FB"/>
    <w:rsid w:val="007A656D"/>
    <w:rsid w:val="007C1D7E"/>
    <w:rsid w:val="007D1B57"/>
    <w:rsid w:val="007E002B"/>
    <w:rsid w:val="007F7C1B"/>
    <w:rsid w:val="00827590"/>
    <w:rsid w:val="00840BE3"/>
    <w:rsid w:val="00841FFC"/>
    <w:rsid w:val="008432AA"/>
    <w:rsid w:val="00873F2F"/>
    <w:rsid w:val="008B689A"/>
    <w:rsid w:val="008C070D"/>
    <w:rsid w:val="008D0A5F"/>
    <w:rsid w:val="009359DF"/>
    <w:rsid w:val="009514A3"/>
    <w:rsid w:val="0095699C"/>
    <w:rsid w:val="00971782"/>
    <w:rsid w:val="00974566"/>
    <w:rsid w:val="009935DE"/>
    <w:rsid w:val="009A71C0"/>
    <w:rsid w:val="009B047A"/>
    <w:rsid w:val="009B20AB"/>
    <w:rsid w:val="009C5CD1"/>
    <w:rsid w:val="009E3BB7"/>
    <w:rsid w:val="009E7C13"/>
    <w:rsid w:val="00A71457"/>
    <w:rsid w:val="00A76C59"/>
    <w:rsid w:val="00AA2837"/>
    <w:rsid w:val="00AB3229"/>
    <w:rsid w:val="00AE24E2"/>
    <w:rsid w:val="00AE32D6"/>
    <w:rsid w:val="00B003DE"/>
    <w:rsid w:val="00B17D22"/>
    <w:rsid w:val="00B70ACF"/>
    <w:rsid w:val="00B70C0B"/>
    <w:rsid w:val="00B76FD1"/>
    <w:rsid w:val="00B841A7"/>
    <w:rsid w:val="00B91A0F"/>
    <w:rsid w:val="00BA0F6D"/>
    <w:rsid w:val="00BB5CE8"/>
    <w:rsid w:val="00C01041"/>
    <w:rsid w:val="00C05B05"/>
    <w:rsid w:val="00C81C80"/>
    <w:rsid w:val="00CA0780"/>
    <w:rsid w:val="00CA3E1B"/>
    <w:rsid w:val="00CA7326"/>
    <w:rsid w:val="00CD71DE"/>
    <w:rsid w:val="00D3548F"/>
    <w:rsid w:val="00D555E1"/>
    <w:rsid w:val="00D924A4"/>
    <w:rsid w:val="00DC196B"/>
    <w:rsid w:val="00DF7F42"/>
    <w:rsid w:val="00E3433B"/>
    <w:rsid w:val="00E363E8"/>
    <w:rsid w:val="00E41521"/>
    <w:rsid w:val="00E62D7C"/>
    <w:rsid w:val="00E73C57"/>
    <w:rsid w:val="00EA268A"/>
    <w:rsid w:val="00EB73FF"/>
    <w:rsid w:val="00ED3342"/>
    <w:rsid w:val="00ED7C12"/>
    <w:rsid w:val="00EF112C"/>
    <w:rsid w:val="00F15650"/>
    <w:rsid w:val="00F428AF"/>
    <w:rsid w:val="00F47123"/>
    <w:rsid w:val="00F65647"/>
    <w:rsid w:val="00F739E7"/>
    <w:rsid w:val="00FE37C9"/>
    <w:rsid w:val="00FF4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D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paragraph" w:styleId="Nagwek">
    <w:name w:val="header"/>
    <w:basedOn w:val="Normalny"/>
    <w:link w:val="NagwekZnak"/>
    <w:uiPriority w:val="99"/>
    <w:unhideWhenUsed/>
    <w:rsid w:val="009935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35DE"/>
  </w:style>
  <w:style w:type="paragraph" w:styleId="Stopka">
    <w:name w:val="footer"/>
    <w:basedOn w:val="Normalny"/>
    <w:link w:val="StopkaZnak"/>
    <w:uiPriority w:val="99"/>
    <w:unhideWhenUsed/>
    <w:rsid w:val="009935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35DE"/>
  </w:style>
  <w:style w:type="paragraph" w:styleId="Poprawka">
    <w:name w:val="Revision"/>
    <w:hidden/>
    <w:uiPriority w:val="99"/>
    <w:semiHidden/>
    <w:rsid w:val="00AA2837"/>
    <w:pPr>
      <w:spacing w:after="0" w:line="240" w:lineRule="auto"/>
    </w:pPr>
  </w:style>
  <w:style w:type="character" w:styleId="Odwoaniedokomentarza">
    <w:name w:val="annotation reference"/>
    <w:basedOn w:val="Domylnaczcionkaakapitu"/>
    <w:uiPriority w:val="99"/>
    <w:semiHidden/>
    <w:unhideWhenUsed/>
    <w:rsid w:val="009359DF"/>
    <w:rPr>
      <w:sz w:val="16"/>
      <w:szCs w:val="16"/>
    </w:rPr>
  </w:style>
  <w:style w:type="paragraph" w:styleId="Tekstkomentarza">
    <w:name w:val="annotation text"/>
    <w:basedOn w:val="Normalny"/>
    <w:link w:val="TekstkomentarzaZnak"/>
    <w:uiPriority w:val="99"/>
    <w:semiHidden/>
    <w:unhideWhenUsed/>
    <w:rsid w:val="009359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9DF"/>
    <w:rPr>
      <w:sz w:val="20"/>
      <w:szCs w:val="20"/>
    </w:rPr>
  </w:style>
  <w:style w:type="paragraph" w:styleId="Tematkomentarza">
    <w:name w:val="annotation subject"/>
    <w:basedOn w:val="Tekstkomentarza"/>
    <w:next w:val="Tekstkomentarza"/>
    <w:link w:val="TematkomentarzaZnak"/>
    <w:uiPriority w:val="99"/>
    <w:semiHidden/>
    <w:unhideWhenUsed/>
    <w:rsid w:val="009359DF"/>
    <w:rPr>
      <w:b/>
      <w:bCs/>
    </w:rPr>
  </w:style>
  <w:style w:type="character" w:customStyle="1" w:styleId="TematkomentarzaZnak">
    <w:name w:val="Temat komentarza Znak"/>
    <w:basedOn w:val="TekstkomentarzaZnak"/>
    <w:link w:val="Tematkomentarza"/>
    <w:uiPriority w:val="99"/>
    <w:semiHidden/>
    <w:rsid w:val="009359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D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paragraph" w:styleId="Nagwek">
    <w:name w:val="header"/>
    <w:basedOn w:val="Normalny"/>
    <w:link w:val="NagwekZnak"/>
    <w:uiPriority w:val="99"/>
    <w:unhideWhenUsed/>
    <w:rsid w:val="009935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35DE"/>
  </w:style>
  <w:style w:type="paragraph" w:styleId="Stopka">
    <w:name w:val="footer"/>
    <w:basedOn w:val="Normalny"/>
    <w:link w:val="StopkaZnak"/>
    <w:uiPriority w:val="99"/>
    <w:unhideWhenUsed/>
    <w:rsid w:val="009935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35DE"/>
  </w:style>
  <w:style w:type="paragraph" w:styleId="Poprawka">
    <w:name w:val="Revision"/>
    <w:hidden/>
    <w:uiPriority w:val="99"/>
    <w:semiHidden/>
    <w:rsid w:val="00AA2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13</Pages>
  <Words>4288</Words>
  <Characters>25733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dc:creator>
  <cp:lastModifiedBy>ASUS</cp:lastModifiedBy>
  <cp:revision>9</cp:revision>
  <cp:lastPrinted>2024-09-13T10:55:00Z</cp:lastPrinted>
  <dcterms:created xsi:type="dcterms:W3CDTF">2024-07-08T12:32:00Z</dcterms:created>
  <dcterms:modified xsi:type="dcterms:W3CDTF">2024-09-13T10:55:00Z</dcterms:modified>
</cp:coreProperties>
</file>